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9F82" w14:textId="56F39583" w:rsidR="00B3588A" w:rsidRPr="00A70C3D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1B02997D" w:rsidR="00491C0B" w:rsidRPr="00A86FBD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B50A54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B50A54">
        <w:rPr>
          <w:i/>
          <w:szCs w:val="24"/>
        </w:rPr>
        <w:t>23</w:t>
      </w:r>
      <w:r w:rsidRPr="00A86FBD">
        <w:rPr>
          <w:i/>
          <w:szCs w:val="24"/>
        </w:rPr>
        <w:t>h59 (</w:t>
      </w:r>
      <w:hyperlink r:id="rId6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F72F10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F72F10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F72F10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</w:p>
        </w:tc>
      </w:tr>
      <w:tr w:rsidR="00B23455" w:rsidRPr="009D6375" w14:paraId="0C62F82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217FC45" w14:textId="4B75654F" w:rsid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1BC6309" w14:textId="04C5744D" w:rsidR="00DF490D" w:rsidRDefault="00DF490D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DF490D">
        <w:rPr>
          <w:rFonts w:ascii="Times New Roman" w:hAnsi="Times New Roman" w:cs="Times New Roman"/>
          <w:b/>
          <w:lang w:val="fr-FR"/>
        </w:rPr>
        <w:t>gen pcinc = income/hhsize</w:t>
      </w:r>
    </w:p>
    <w:p w14:paraId="260B608D" w14:textId="77777777" w:rsidR="00DF490D" w:rsidRPr="00A5164E" w:rsidRDefault="00DF490D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4D35C466" w14:textId="77777777" w:rsidR="00B23455" w:rsidRPr="00963CBF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22BC5506" w14:textId="77777777" w:rsidR="00B23455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436007A" w14:textId="74CC17D6" w:rsidR="00DF490D" w:rsidRPr="00A5164E" w:rsidRDefault="00A5164E" w:rsidP="00DF490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71F73EB" w14:textId="77777777" w:rsidR="007F4A9F" w:rsidRPr="007F4A9F" w:rsidRDefault="007F4A9F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F4A9F">
        <w:rPr>
          <w:rFonts w:ascii="Times New Roman" w:eastAsia="Times New Roman" w:hAnsi="Times New Roman" w:cs="Times New Roman"/>
          <w:b/>
          <w:bCs/>
          <w:lang w:val="fr-FR"/>
        </w:rPr>
        <w:t>/* Revenu moyen par habitant */</w:t>
      </w:r>
    </w:p>
    <w:p w14:paraId="3CAEECE4" w14:textId="77777777" w:rsidR="007F4A9F" w:rsidRPr="007F4A9F" w:rsidRDefault="007F4A9F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F4A9F">
        <w:rPr>
          <w:rFonts w:ascii="Times New Roman" w:eastAsia="Times New Roman" w:hAnsi="Times New Roman" w:cs="Times New Roman"/>
          <w:b/>
          <w:bCs/>
          <w:lang w:val="fr-FR"/>
        </w:rPr>
        <w:t>sum pcinc [aw=hhsize]</w:t>
      </w:r>
    </w:p>
    <w:p w14:paraId="1DC2BD99" w14:textId="77777777" w:rsidR="007F4A9F" w:rsidRPr="007F4A9F" w:rsidRDefault="007F4A9F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52F05718" w14:textId="77777777" w:rsidR="007F4A9F" w:rsidRPr="007F4A9F" w:rsidRDefault="007F4A9F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F4A9F">
        <w:rPr>
          <w:rFonts w:ascii="Times New Roman" w:eastAsia="Times New Roman" w:hAnsi="Times New Roman" w:cs="Times New Roman"/>
          <w:b/>
          <w:bCs/>
          <w:lang w:val="fr-FR"/>
        </w:rPr>
        <w:lastRenderedPageBreak/>
        <w:t>/*Revenu total de la popultaion*/</w:t>
      </w:r>
    </w:p>
    <w:p w14:paraId="30D68069" w14:textId="59CBB3B9" w:rsidR="00A5164E" w:rsidRDefault="007F4A9F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F4A9F">
        <w:rPr>
          <w:rFonts w:ascii="Times New Roman" w:eastAsia="Times New Roman" w:hAnsi="Times New Roman" w:cs="Times New Roman"/>
          <w:b/>
          <w:bCs/>
          <w:lang w:val="fr-FR"/>
        </w:rPr>
        <w:t>total(income)</w:t>
      </w:r>
    </w:p>
    <w:p w14:paraId="76BA97B8" w14:textId="77777777" w:rsidR="00A16957" w:rsidRDefault="00A16957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2AF5E92D" w14:textId="28E3EDD7" w:rsidR="007F4A9F" w:rsidRDefault="00A16957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A16957">
        <w:rPr>
          <w:rFonts w:ascii="Times New Roman" w:eastAsia="Times New Roman" w:hAnsi="Times New Roman" w:cs="Times New Roman"/>
          <w:b/>
          <w:bCs/>
          <w:noProof/>
          <w:lang w:val="fr-FR"/>
        </w:rPr>
        <w:drawing>
          <wp:inline distT="0" distB="0" distL="0" distR="0" wp14:anchorId="3DC7B7D3" wp14:editId="18C717AC">
            <wp:extent cx="5486400" cy="23418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081A" w14:textId="771A72C3" w:rsidR="00A16957" w:rsidRDefault="00692FDB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>
        <w:rPr>
          <w:rFonts w:ascii="Times New Roman" w:eastAsia="Times New Roman" w:hAnsi="Times New Roman" w:cs="Times New Roman"/>
          <w:b/>
          <w:bCs/>
          <w:lang w:val="fr-FR"/>
        </w:rPr>
        <w:t xml:space="preserve">Avec un revenu total </w:t>
      </w:r>
      <w:r w:rsidR="00133EB0">
        <w:rPr>
          <w:rFonts w:ascii="Times New Roman" w:eastAsia="Times New Roman" w:hAnsi="Times New Roman" w:cs="Times New Roman"/>
          <w:b/>
          <w:bCs/>
          <w:lang w:val="fr-FR"/>
        </w:rPr>
        <w:t>égale à</w:t>
      </w:r>
      <w:r>
        <w:rPr>
          <w:rFonts w:ascii="Times New Roman" w:eastAsia="Times New Roman" w:hAnsi="Times New Roman" w:cs="Times New Roman"/>
          <w:b/>
          <w:bCs/>
          <w:lang w:val="fr-FR"/>
        </w:rPr>
        <w:t xml:space="preserve"> 4444</w:t>
      </w:r>
      <w:r w:rsidR="00133EB0">
        <w:rPr>
          <w:rFonts w:ascii="Times New Roman" w:eastAsia="Times New Roman" w:hAnsi="Times New Roman" w:cs="Times New Roman"/>
          <w:b/>
          <w:bCs/>
          <w:lang w:val="fr-FR"/>
        </w:rPr>
        <w:t>, chaque individu a en moyenne un revenu égale à 96,6.</w:t>
      </w:r>
    </w:p>
    <w:p w14:paraId="4CB1AA03" w14:textId="77777777" w:rsidR="00133EB0" w:rsidRPr="007F4A9F" w:rsidRDefault="00133EB0" w:rsidP="007F4A9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97147AF" w14:textId="36FF3026" w:rsidR="00DF490D" w:rsidRDefault="00A5164E" w:rsidP="00DF490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D693B97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gen pline = 120</w:t>
      </w:r>
    </w:p>
    <w:p w14:paraId="691FCABF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gen pgap = 0</w:t>
      </w:r>
    </w:p>
    <w:p w14:paraId="03B1F8C0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replace pgap = (pline-pcinc)/pline if (pcinc &lt; pline)</w:t>
      </w:r>
    </w:p>
    <w:p w14:paraId="300254E1" w14:textId="0D421500" w:rsidR="00A16957" w:rsidRDefault="007F4A9F" w:rsidP="00A1695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sum pgap [aw=hhsize]</w:t>
      </w:r>
    </w:p>
    <w:p w14:paraId="3B2C487D" w14:textId="77777777" w:rsidR="00133EB0" w:rsidRDefault="00133EB0" w:rsidP="00A1695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2C3D0C0" w14:textId="1E762758" w:rsidR="00B23455" w:rsidRDefault="00A16957" w:rsidP="00B23455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16957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39FD5486" wp14:editId="04C0787E">
            <wp:extent cx="5486400" cy="16287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25AC" w14:textId="64C9F4AB" w:rsidR="00133EB0" w:rsidRPr="00133EB0" w:rsidRDefault="00736770" w:rsidP="00B23455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L’intensité moyenne de la population est égale à 0,29. </w:t>
      </w:r>
      <w:r w:rsidR="00871937">
        <w:rPr>
          <w:rFonts w:ascii="Times New Roman" w:hAnsi="Times New Roman" w:cs="Times New Roman"/>
          <w:b/>
          <w:lang w:val="fr-FR"/>
        </w:rPr>
        <w:t xml:space="preserve">Pour un seuil de pauvreté égale à </w:t>
      </w:r>
      <w:r>
        <w:rPr>
          <w:rFonts w:ascii="Times New Roman" w:hAnsi="Times New Roman" w:cs="Times New Roman"/>
          <w:b/>
          <w:lang w:val="fr-FR"/>
        </w:rPr>
        <w:t>120, l</w:t>
      </w:r>
      <w:r>
        <w:rPr>
          <w:rFonts w:ascii="Times New Roman" w:hAnsi="Times New Roman" w:cs="Times New Roman"/>
          <w:b/>
          <w:lang w:val="fr-FR"/>
        </w:rPr>
        <w:t xml:space="preserve">’amplitude de la pauvreté dans le ménage est de </w:t>
      </w:r>
      <w:r>
        <w:rPr>
          <w:rFonts w:ascii="Times New Roman" w:hAnsi="Times New Roman" w:cs="Times New Roman"/>
          <w:b/>
          <w:lang w:val="fr-FR"/>
        </w:rPr>
        <w:t>29,1%.</w:t>
      </w:r>
    </w:p>
    <w:p w14:paraId="3F593180" w14:textId="78DB753F" w:rsidR="007164EA" w:rsidRDefault="00B23455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162DF59D" w14:textId="77777777" w:rsidR="00736770" w:rsidRPr="00736770" w:rsidRDefault="00736770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BCCC29B" w14:textId="75F87855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82D439F" w14:textId="7DE6D345" w:rsidR="007F4A9F" w:rsidRPr="00A5164E" w:rsidRDefault="007F4A9F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ifgt pcinc, pline(120) alpha(1) hsize(hhsize)</w:t>
      </w:r>
    </w:p>
    <w:p w14:paraId="7A014538" w14:textId="14950E1B" w:rsidR="00A16957" w:rsidRDefault="00A16957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A16957">
        <w:rPr>
          <w:rFonts w:ascii="Times New Roman" w:eastAsia="Times New Roman" w:hAnsi="Times New Roman" w:cs="Times New Roman"/>
          <w:b/>
          <w:noProof/>
          <w:lang w:val="fr-FR"/>
        </w:rPr>
        <w:drawing>
          <wp:inline distT="0" distB="0" distL="0" distR="0" wp14:anchorId="02ABF37C" wp14:editId="2ADCF159">
            <wp:extent cx="5486400" cy="14230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E084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63057B">
        <w:rPr>
          <w:rFonts w:ascii="Times New Roman" w:eastAsia="Times New Roman" w:hAnsi="Times New Roman" w:cs="Times New Roman"/>
          <w:lang w:val="fr-FR"/>
        </w:rPr>
        <w:t xml:space="preserve">supérieur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 cas où la région A est la région de référence, générez la variable (deflator) en tant qu'indice de déflation des prix, puis générez la variable de revenu réel par habitant (rpcinc).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1B2297B" w14:textId="1B43EEFC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45D73FD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gen deflator = 1</w:t>
      </w:r>
    </w:p>
    <w:p w14:paraId="6037692E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replace deflator = 1.15 if region == 2</w:t>
      </w:r>
    </w:p>
    <w:p w14:paraId="48CAF35C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replace deflator = 1.20 if region == 3</w:t>
      </w:r>
    </w:p>
    <w:p w14:paraId="18340933" w14:textId="2CE6EE9C" w:rsidR="007F4A9F" w:rsidRPr="00A5164E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gen rpcinc = pcinc/deflator</w:t>
      </w:r>
    </w:p>
    <w:p w14:paraId="2AEE03F0" w14:textId="77777777" w:rsidR="00A5164E" w:rsidRPr="007164EA" w:rsidRDefault="00A5164E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819E722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130.</w:t>
      </w:r>
    </w:p>
    <w:p w14:paraId="64C4BEC5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AD766FA" w14:textId="325C9683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62123AC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sum rpcinc [aw=hhsize]</w:t>
      </w:r>
    </w:p>
    <w:p w14:paraId="5062646F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replace pline = 130</w:t>
      </w:r>
    </w:p>
    <w:p w14:paraId="69B3E631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replace pgap = (pline-rpcinc)/pline if (rpcinc &lt; pline)</w:t>
      </w:r>
    </w:p>
    <w:p w14:paraId="3592C6E9" w14:textId="77777777" w:rsidR="007F4A9F" w:rsidRP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sum pgap [aw=hhsize]</w:t>
      </w:r>
    </w:p>
    <w:p w14:paraId="2506F024" w14:textId="01DB6840" w:rsidR="007F4A9F" w:rsidRDefault="007F4A9F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7F4A9F">
        <w:rPr>
          <w:rFonts w:ascii="Times New Roman" w:hAnsi="Times New Roman" w:cs="Times New Roman"/>
          <w:b/>
          <w:lang w:val="fr-FR"/>
        </w:rPr>
        <w:t>ifgt rpcinc, pline(130) alpha(1) hsize(hhsize)</w:t>
      </w:r>
    </w:p>
    <w:p w14:paraId="593B17E5" w14:textId="77777777" w:rsidR="00692FDB" w:rsidRPr="00A5164E" w:rsidRDefault="00692FDB" w:rsidP="007F4A9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82E781" w14:textId="6B6023F5" w:rsidR="00736770" w:rsidRDefault="00692FDB">
      <w:pPr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692FDB">
        <w:rPr>
          <w:rFonts w:ascii="Times New Roman" w:eastAsia="Times New Roman" w:hAnsi="Times New Roman" w:cs="Times New Roman"/>
          <w:b/>
          <w:noProof/>
          <w:lang w:val="fr-FR"/>
        </w:rPr>
        <w:drawing>
          <wp:inline distT="0" distB="0" distL="0" distR="0" wp14:anchorId="61F5BA3A" wp14:editId="67A7347A">
            <wp:extent cx="5486400" cy="2952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6C42" w14:textId="6780C8A0" w:rsidR="00736770" w:rsidRPr="001C1C2F" w:rsidRDefault="00736770">
      <w:pPr>
        <w:rPr>
          <w:rFonts w:ascii="Times New Roman" w:eastAsia="Times New Roman" w:hAnsi="Times New Roman" w:cs="Times New Roman"/>
          <w:b/>
          <w:lang w:val="fr-FR"/>
        </w:rPr>
      </w:pPr>
      <w:r w:rsidRPr="001C1C2F">
        <w:rPr>
          <w:rFonts w:ascii="Times New Roman" w:eastAsia="Times New Roman" w:hAnsi="Times New Roman" w:cs="Times New Roman"/>
          <w:b/>
          <w:lang w:val="fr-FR"/>
        </w:rPr>
        <w:t xml:space="preserve">L’intensité </w:t>
      </w:r>
      <w:r w:rsidR="001C1C2F" w:rsidRPr="001C1C2F">
        <w:rPr>
          <w:rFonts w:ascii="Times New Roman" w:eastAsia="Times New Roman" w:hAnsi="Times New Roman" w:cs="Times New Roman"/>
          <w:b/>
          <w:lang w:val="fr-FR"/>
        </w:rPr>
        <w:t>moyenne de la pauvreté est égale à 0,39</w:t>
      </w:r>
      <w:r w:rsidR="001C1C2F">
        <w:rPr>
          <w:rFonts w:ascii="Times New Roman" w:eastAsia="Times New Roman" w:hAnsi="Times New Roman" w:cs="Times New Roman"/>
          <w:b/>
          <w:lang w:val="fr-FR"/>
        </w:rPr>
        <w:t xml:space="preserve"> lorsque le seuil de pauvreté augmente (égale à 130). Cela veut dire qu’en moyenne 38,77% des ménages vivent en dessous du seuil de la pauvreté qui est égale à 130.</w:t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>Bureau of Statistics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r w:rsidRPr="00F53E2C">
        <w:rPr>
          <w:rFonts w:ascii="Times New Roman" w:hAnsi="Times New Roman" w:cs="Times New Roman"/>
          <w:lang w:val="fr-FR"/>
        </w:rPr>
        <w:t xml:space="preserve">où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r w:rsidRPr="00F53E2C">
        <w:rPr>
          <w:rFonts w:ascii="Times New Roman" w:hAnsi="Times New Roman" w:cs="Times New Roman"/>
          <w:i/>
          <w:lang w:val="fr-FR"/>
        </w:rPr>
        <w:t>nc</w:t>
      </w:r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F72F10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</w:p>
        </w:tc>
        <w:tc>
          <w:tcPr>
            <w:tcW w:w="993" w:type="dxa"/>
          </w:tcPr>
          <w:p w14:paraId="26B8CF6E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F72F10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F72F10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F72F10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F72F10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F72F10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F72F10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2FC07E6" w14:textId="51160C1A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5DB1D4E" w14:textId="77777777" w:rsidR="00E75650" w:rsidRDefault="00E75650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EA948B4" w14:textId="1C28DFEA" w:rsidR="00E75650" w:rsidRPr="00A5164E" w:rsidRDefault="00E75650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75650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02FFFA5B" wp14:editId="3BC4CEEB">
            <wp:extent cx="5486400" cy="27990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EE87" w14:textId="52002DB3" w:rsid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7F6A2EE" w14:textId="5CBA1A7E" w:rsidR="00B81B6E" w:rsidRDefault="00E75650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  <w:r w:rsidRPr="00E75650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4F21362E" wp14:editId="7EA6948B">
            <wp:extent cx="5486400" cy="279908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3148" w14:textId="77777777" w:rsidR="00E75650" w:rsidRPr="00971234" w:rsidRDefault="00E75650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AECAC8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4A3C7BB" w14:textId="656B9E28" w:rsidR="00A5164E" w:rsidRPr="008B5C74" w:rsidRDefault="008B5C74" w:rsidP="00A5164E">
      <w:pPr>
        <w:rPr>
          <w:rFonts w:ascii="Times New Roman" w:hAnsi="Times New Roman" w:cs="Times New Roman"/>
          <w:b/>
          <w:bCs/>
          <w:lang w:val="fr-FR"/>
        </w:rPr>
      </w:pPr>
      <w:r w:rsidRPr="008B5C74">
        <w:rPr>
          <w:rFonts w:ascii="Times New Roman" w:hAnsi="Times New Roman" w:cs="Times New Roman"/>
          <w:b/>
          <w:bCs/>
          <w:lang w:val="fr-FR"/>
        </w:rPr>
        <w:t xml:space="preserve">Nous </w:t>
      </w:r>
      <w:r>
        <w:rPr>
          <w:rFonts w:ascii="Times New Roman" w:hAnsi="Times New Roman" w:cs="Times New Roman"/>
          <w:b/>
          <w:bCs/>
          <w:lang w:val="fr-FR"/>
        </w:rPr>
        <w:t xml:space="preserve">constatons que le revenu moyen par habitant de la période </w:t>
      </w:r>
      <w:r w:rsidR="00C40B2A">
        <w:rPr>
          <w:rFonts w:ascii="Times New Roman" w:hAnsi="Times New Roman" w:cs="Times New Roman"/>
          <w:b/>
          <w:bCs/>
          <w:lang w:val="fr-FR"/>
        </w:rPr>
        <w:t>1 est supérieur à celui de la période 2. Cela veut dire que les ménages sont devenus plus pauvres à la période 2. En revanche, nous remarquons le contraire avec l’équivalent adulte. Cela s’explique par le fait que ce dernier capte les besoins moindres des enfants.</w:t>
      </w:r>
    </w:p>
    <w:p w14:paraId="502CF049" w14:textId="579D819F" w:rsidR="00B23455" w:rsidRPr="00E75650" w:rsidRDefault="00B23455" w:rsidP="00E7565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D714A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670AF470" w14:textId="77777777" w:rsidR="00B23455" w:rsidRPr="009F66FF" w:rsidRDefault="00B23455" w:rsidP="009F66FF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37ED2133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F1F6364" w14:textId="77777777" w:rsidR="00895D22" w:rsidRDefault="00895D22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463654A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clear all</w:t>
      </w:r>
    </w:p>
    <w:p w14:paraId="5431A11F" w14:textId="0B840AC9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cd"C:\Users\dmadj\Desktop\Hiver2021\Mesure&amp;AllegementDeLaPauvrete\AssementsEvaluations\Sem1&amp;2"</w:t>
      </w:r>
    </w:p>
    <w:p w14:paraId="0EFF08EB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use data_3.dta, clear</w:t>
      </w:r>
    </w:p>
    <w:p w14:paraId="50892213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905CD00" w14:textId="639E7205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gen fweight=psu*hhsize</w:t>
      </w:r>
    </w:p>
    <w:p w14:paraId="3E072A5E" w14:textId="1E966A98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total (fweight)</w:t>
      </w:r>
    </w:p>
    <w:p w14:paraId="015AA692" w14:textId="77777777" w:rsidR="00A5164E" w:rsidRPr="0044428F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Cs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80F9C2" w14:textId="5402C78D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9AE4B76" w14:textId="77777777" w:rsidR="00895D22" w:rsidRDefault="00895D22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318D6DF7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r w:rsidRPr="0044428F">
        <w:rPr>
          <w:rFonts w:ascii="Times New Roman" w:hAnsi="Times New Roman" w:cs="Times New Roman"/>
          <w:bCs/>
          <w:lang w:val="fr-FR"/>
        </w:rPr>
        <w:t>/*Ordonnez en ordre croissant les dépenses par habitant*/</w:t>
      </w:r>
    </w:p>
    <w:p w14:paraId="19C05C1F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sort pcexp</w:t>
      </w:r>
    </w:p>
    <w:p w14:paraId="039ADE5E" w14:textId="77777777" w:rsidR="00895D22" w:rsidRPr="00895D22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7516C1A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r w:rsidRPr="0044428F">
        <w:rPr>
          <w:rFonts w:ascii="Times New Roman" w:hAnsi="Times New Roman" w:cs="Times New Roman"/>
          <w:bCs/>
          <w:lang w:val="fr-FR"/>
        </w:rPr>
        <w:t>/*Générez la variable ps, proportion de la population échantillonnée*/</w:t>
      </w:r>
    </w:p>
    <w:p w14:paraId="39AD04E0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sum hhsize</w:t>
      </w:r>
    </w:p>
    <w:p w14:paraId="3DA0E0A3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gen ps=hhsize/r(sum)</w:t>
      </w:r>
    </w:p>
    <w:p w14:paraId="5FD6B032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</w:p>
    <w:p w14:paraId="4A3245FB" w14:textId="77777777" w:rsidR="00895D22" w:rsidRPr="0044428F" w:rsidRDefault="00895D22" w:rsidP="00895D2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r w:rsidRPr="0044428F">
        <w:rPr>
          <w:rFonts w:ascii="Times New Roman" w:hAnsi="Times New Roman" w:cs="Times New Roman"/>
          <w:bCs/>
          <w:lang w:val="fr-FR"/>
        </w:rPr>
        <w:t>/*Générez les variables percentiles et quantiles*/</w:t>
      </w:r>
    </w:p>
    <w:p w14:paraId="05B38388" w14:textId="77777777" w:rsidR="00895D22" w:rsidRPr="0044428F" w:rsidRDefault="00895D22" w:rsidP="0044428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gen p = sum(ps)</w:t>
      </w:r>
    </w:p>
    <w:p w14:paraId="52C9A79C" w14:textId="77777777" w:rsidR="00895D22" w:rsidRPr="0044428F" w:rsidRDefault="00895D22" w:rsidP="0044428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gen q = pcexp</w:t>
      </w:r>
    </w:p>
    <w:p w14:paraId="1D2FF626" w14:textId="77777777" w:rsidR="00895D22" w:rsidRPr="0044428F" w:rsidRDefault="00895D22" w:rsidP="0044428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list, sep(0)</w:t>
      </w:r>
    </w:p>
    <w:p w14:paraId="76FA5639" w14:textId="77777777" w:rsidR="00A5164E" w:rsidRPr="000C77AC" w:rsidRDefault="00A5164E" w:rsidP="008C373E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CAC53C" w14:textId="77777777" w:rsidR="00B23455" w:rsidRPr="00077667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09FD8ACF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EC2CBFD" w14:textId="71A35BE3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35DD949" w14:textId="77777777" w:rsidR="008C373E" w:rsidRPr="0044428F" w:rsidRDefault="008C373E" w:rsidP="0044428F">
      <w:pPr>
        <w:spacing w:after="0" w:line="240" w:lineRule="auto"/>
        <w:ind w:left="64" w:right="147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line p pcexp, title(La courbe de distribution cumulative ) xtitle(dépenses par habitant correspondantes (pcexp))</w:t>
      </w:r>
    </w:p>
    <w:p w14:paraId="2309188A" w14:textId="33CCADFC" w:rsidR="008C373E" w:rsidRPr="0044428F" w:rsidRDefault="008C373E" w:rsidP="0044428F">
      <w:pPr>
        <w:spacing w:after="0" w:line="240" w:lineRule="auto"/>
        <w:ind w:left="64" w:right="147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ytitle(F(y),(min = 0, max = 0,90))</w:t>
      </w:r>
    </w:p>
    <w:p w14:paraId="73A26212" w14:textId="081C49AE" w:rsidR="008C373E" w:rsidRPr="00A5164E" w:rsidRDefault="008C373E" w:rsidP="008C373E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8C373E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6D8964F2" wp14:editId="5B1DB3A5">
            <wp:extent cx="5153025" cy="3124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89DD" w14:textId="77777777" w:rsidR="00A5164E" w:rsidRPr="00077667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EE8A365" w14:textId="647F0565" w:rsidR="00A5164E" w:rsidRDefault="008C373E" w:rsidP="0044428F">
      <w:pPr>
        <w:spacing w:after="0" w:line="240" w:lineRule="auto"/>
        <w:ind w:left="709" w:right="147" w:hanging="645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44428F">
        <w:rPr>
          <w:rFonts w:ascii="Times New Roman" w:hAnsi="Times New Roman" w:cs="Times New Roman"/>
          <w:b/>
          <w:bCs/>
          <w:sz w:val="20"/>
          <w:szCs w:val="20"/>
          <w:lang w:val="fr-FR"/>
        </w:rPr>
        <w:t>c_quantile pcexp, hsize(hhsize) min(0.0) max(0.90)</w:t>
      </w:r>
    </w:p>
    <w:p w14:paraId="77FEE175" w14:textId="77777777" w:rsidR="00B30943" w:rsidRPr="0044428F" w:rsidRDefault="00B30943" w:rsidP="0044428F">
      <w:pPr>
        <w:spacing w:after="0" w:line="240" w:lineRule="auto"/>
        <w:ind w:left="709" w:right="147" w:hanging="645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14:paraId="7215C3E1" w14:textId="77777777" w:rsidR="00C678C2" w:rsidRDefault="00C678C2" w:rsidP="00C678C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b/>
          <w:bCs/>
          <w:lang w:val="fr-FR"/>
        </w:rPr>
      </w:pPr>
      <w:r w:rsidRPr="0029558C">
        <w:rPr>
          <w:rFonts w:ascii="Times New Roman" w:hAnsi="Times New Roman" w:cs="Times New Roman"/>
          <w:b/>
          <w:bCs/>
          <w:lang w:val="fr-FR"/>
        </w:rPr>
        <w:t xml:space="preserve">Nous </w:t>
      </w:r>
      <w:r>
        <w:rPr>
          <w:rFonts w:ascii="Times New Roman" w:hAnsi="Times New Roman" w:cs="Times New Roman"/>
          <w:b/>
          <w:bCs/>
          <w:lang w:val="fr-FR"/>
        </w:rPr>
        <w:t xml:space="preserve">avons une courbe de quantiles proche de l’axe des percentiles, donc elle est faible. Cela </w:t>
      </w:r>
    </w:p>
    <w:p w14:paraId="48088FFD" w14:textId="02443C74" w:rsidR="00C678C2" w:rsidRPr="0029558C" w:rsidRDefault="00C678C2" w:rsidP="00C678C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Implique que l</w:t>
      </w:r>
      <w:r w:rsidR="00B30943">
        <w:rPr>
          <w:rFonts w:ascii="Times New Roman" w:hAnsi="Times New Roman" w:cs="Times New Roman"/>
          <w:b/>
          <w:bCs/>
          <w:lang w:val="fr-FR"/>
        </w:rPr>
        <w:t>a moyenne des dépenses par habitant</w:t>
      </w:r>
      <w:r>
        <w:rPr>
          <w:rFonts w:ascii="Times New Roman" w:hAnsi="Times New Roman" w:cs="Times New Roman"/>
          <w:b/>
          <w:bCs/>
          <w:lang w:val="fr-FR"/>
        </w:rPr>
        <w:t xml:space="preserve"> est également faible.</w:t>
      </w:r>
    </w:p>
    <w:p w14:paraId="50010CEC" w14:textId="77777777" w:rsidR="008F4746" w:rsidRPr="0044428F" w:rsidRDefault="008F4746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14:paraId="2D2AF72B" w14:textId="73A2F792" w:rsidR="008C373E" w:rsidRDefault="008F4746" w:rsidP="0029558C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8F4746">
        <w:rPr>
          <w:rFonts w:ascii="Times New Roman" w:hAnsi="Times New Roman" w:cs="Times New Roman"/>
          <w:noProof/>
          <w:sz w:val="20"/>
          <w:szCs w:val="20"/>
          <w:lang w:val="fr-FR"/>
        </w:rPr>
        <w:drawing>
          <wp:inline distT="0" distB="0" distL="0" distR="0" wp14:anchorId="2B15222C" wp14:editId="7FAB2CAC">
            <wp:extent cx="5124450" cy="3114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511" w14:textId="77777777" w:rsidR="00B23455" w:rsidRPr="00D65106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5B87F309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8395D6" w14:textId="17B9C49B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CB821DC" w14:textId="51E7364E" w:rsidR="0044428F" w:rsidRDefault="0044428F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lang w:val="fr-FR"/>
        </w:rPr>
        <w:t>c_quantile pcexp, hsize(hhsize) hgroup(zone) min(0.0) max(0.90)</w:t>
      </w:r>
    </w:p>
    <w:p w14:paraId="2E1B32F7" w14:textId="77777777" w:rsidR="00B30943" w:rsidRDefault="00B30943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73EAD54" w14:textId="4C5D475C" w:rsidR="00C678C2" w:rsidRPr="00C678C2" w:rsidRDefault="00C678C2" w:rsidP="00C678C2">
      <w:pPr>
        <w:rPr>
          <w:rFonts w:ascii="Times New Roman" w:hAnsi="Times New Roman" w:cs="Times New Roman"/>
          <w:b/>
          <w:bCs/>
          <w:lang w:val="fr-FR"/>
        </w:rPr>
      </w:pPr>
      <w:r w:rsidRPr="00C678C2">
        <w:rPr>
          <w:rFonts w:ascii="Times New Roman" w:hAnsi="Times New Roman" w:cs="Times New Roman"/>
          <w:b/>
          <w:bCs/>
          <w:lang w:val="fr-FR"/>
        </w:rPr>
        <w:t xml:space="preserve">La figure « Quantile Curves » montre l’inégalité qui peut exister entre deux zones (rurale et </w:t>
      </w:r>
      <w:r>
        <w:rPr>
          <w:rFonts w:ascii="Times New Roman" w:hAnsi="Times New Roman" w:cs="Times New Roman"/>
          <w:b/>
          <w:bCs/>
          <w:lang w:val="fr-FR"/>
        </w:rPr>
        <w:t xml:space="preserve">urbaine). En comparant les deux courbes de quantiles, nous observons que celle </w:t>
      </w:r>
      <w:r w:rsidR="00B30943">
        <w:rPr>
          <w:rFonts w:ascii="Times New Roman" w:hAnsi="Times New Roman" w:cs="Times New Roman"/>
          <w:b/>
          <w:bCs/>
          <w:lang w:val="fr-FR"/>
        </w:rPr>
        <w:t>associée à la zone urbaine (couleur rouge) est plus élevée que celle de la zone rurale (couleur bleu). Cela implique que la moyenne des dépenses par habitant de la zone urbaine est supérieure à celle de la zone rurale.</w:t>
      </w:r>
    </w:p>
    <w:p w14:paraId="5B035D8F" w14:textId="77777777" w:rsidR="0044428F" w:rsidRDefault="0044428F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9C36507" w14:textId="489B9184" w:rsidR="0044428F" w:rsidRPr="00A5164E" w:rsidRDefault="0044428F" w:rsidP="0044428F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44428F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1E0CA07C" wp14:editId="49DD9CFD">
            <wp:extent cx="5124450" cy="3124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746D3D02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r w:rsidR="007D2ABD" w:rsidRPr="00D65106">
        <w:rPr>
          <w:rFonts w:ascii="Times New Roman" w:eastAsia="Times New Roman" w:hAnsi="Times New Roman" w:cs="Times New Roman"/>
          <w:lang w:val="fr-FR"/>
        </w:rPr>
        <w:t>habitant :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8954462" w14:textId="61C7AE2E" w:rsidR="00A5164E" w:rsidRDefault="0044428F" w:rsidP="00B23455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  <w:r w:rsidRPr="00B30943">
        <w:rPr>
          <w:rFonts w:ascii="Times New Roman" w:hAnsi="Times New Roman" w:cs="Times New Roman"/>
          <w:b/>
          <w:bCs/>
          <w:lang w:val="fr-FR"/>
        </w:rPr>
        <w:t>cdensity pcexp, hsize(hhsize) hgroup(sex) min(0) max(800000)</w:t>
      </w:r>
    </w:p>
    <w:p w14:paraId="447207A8" w14:textId="77777777" w:rsidR="00B30943" w:rsidRPr="00B30943" w:rsidRDefault="00B30943" w:rsidP="00B23455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</w:p>
    <w:p w14:paraId="32AC5CE0" w14:textId="1F5F95B0" w:rsidR="00B30943" w:rsidRPr="00B30943" w:rsidRDefault="00B30943" w:rsidP="00B30943">
      <w:pPr>
        <w:rPr>
          <w:rFonts w:ascii="Times New Roman" w:hAnsi="Times New Roman" w:cs="Times New Roman"/>
          <w:b/>
          <w:bCs/>
          <w:lang w:val="fr-FR"/>
        </w:rPr>
      </w:pPr>
      <w:r w:rsidRPr="00B30943">
        <w:rPr>
          <w:rFonts w:ascii="Times New Roman" w:hAnsi="Times New Roman" w:cs="Times New Roman"/>
          <w:b/>
          <w:bCs/>
          <w:lang w:val="fr-FR"/>
        </w:rPr>
        <w:t>La Figure ci-dessous représent</w:t>
      </w:r>
      <w:r>
        <w:rPr>
          <w:rFonts w:ascii="Times New Roman" w:hAnsi="Times New Roman" w:cs="Times New Roman"/>
          <w:b/>
          <w:bCs/>
          <w:lang w:val="fr-FR"/>
        </w:rPr>
        <w:t xml:space="preserve">ent </w:t>
      </w:r>
      <w:r w:rsidR="004E3039">
        <w:rPr>
          <w:rFonts w:ascii="Times New Roman" w:hAnsi="Times New Roman" w:cs="Times New Roman"/>
          <w:b/>
          <w:bCs/>
          <w:lang w:val="fr-FR"/>
        </w:rPr>
        <w:t>les courbes de densité des dépenses par habitant selon le genre du chef de ménage. Elle nous montre qu</w:t>
      </w:r>
      <w:r w:rsidR="00AA69B1">
        <w:rPr>
          <w:rFonts w:ascii="Times New Roman" w:hAnsi="Times New Roman" w:cs="Times New Roman"/>
          <w:b/>
          <w:bCs/>
          <w:lang w:val="fr-FR"/>
        </w:rPr>
        <w:t>e</w:t>
      </w:r>
      <w:r w:rsidR="00235FDF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4E3039">
        <w:rPr>
          <w:rFonts w:ascii="Times New Roman" w:hAnsi="Times New Roman" w:cs="Times New Roman"/>
          <w:b/>
          <w:bCs/>
          <w:lang w:val="fr-FR"/>
        </w:rPr>
        <w:t>l</w:t>
      </w:r>
      <w:r w:rsidR="00235FDF">
        <w:rPr>
          <w:rFonts w:ascii="Times New Roman" w:hAnsi="Times New Roman" w:cs="Times New Roman"/>
          <w:b/>
          <w:bCs/>
          <w:lang w:val="fr-FR"/>
        </w:rPr>
        <w:t>a majorité des</w:t>
      </w:r>
      <w:r w:rsidR="004E3039">
        <w:rPr>
          <w:rFonts w:ascii="Times New Roman" w:hAnsi="Times New Roman" w:cs="Times New Roman"/>
          <w:b/>
          <w:bCs/>
          <w:lang w:val="fr-FR"/>
        </w:rPr>
        <w:t xml:space="preserve"> dépenses </w:t>
      </w:r>
      <w:r w:rsidR="00235FDF">
        <w:rPr>
          <w:rFonts w:ascii="Times New Roman" w:hAnsi="Times New Roman" w:cs="Times New Roman"/>
          <w:b/>
          <w:bCs/>
          <w:lang w:val="fr-FR"/>
        </w:rPr>
        <w:t xml:space="preserve">par habitant </w:t>
      </w:r>
      <w:r w:rsidR="005C07C6">
        <w:rPr>
          <w:rFonts w:ascii="Times New Roman" w:hAnsi="Times New Roman" w:cs="Times New Roman"/>
          <w:b/>
          <w:bCs/>
          <w:lang w:val="fr-FR"/>
        </w:rPr>
        <w:t xml:space="preserve">est </w:t>
      </w:r>
      <w:r w:rsidR="00235FDF">
        <w:rPr>
          <w:rFonts w:ascii="Times New Roman" w:hAnsi="Times New Roman" w:cs="Times New Roman"/>
          <w:b/>
          <w:bCs/>
          <w:lang w:val="fr-FR"/>
        </w:rPr>
        <w:t xml:space="preserve">inférieure à 160000 peu importe le sexe du chef de ménage. Mais, il y a plus beaucoup d’hommes qui dépensent que de femmes. En revanche, le pic chez les hommes est plus </w:t>
      </w:r>
      <w:r w:rsidR="00AA69B1">
        <w:rPr>
          <w:rFonts w:ascii="Times New Roman" w:hAnsi="Times New Roman" w:cs="Times New Roman"/>
          <w:b/>
          <w:bCs/>
          <w:lang w:val="fr-FR"/>
        </w:rPr>
        <w:t>élevé</w:t>
      </w:r>
      <w:r w:rsidR="00235FDF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AA69B1">
        <w:rPr>
          <w:rFonts w:ascii="Times New Roman" w:hAnsi="Times New Roman" w:cs="Times New Roman"/>
          <w:b/>
          <w:bCs/>
          <w:lang w:val="fr-FR"/>
        </w:rPr>
        <w:t>que chez les femmes. Cela implique les dépenses par habitant chez les hommes sont moins hétérogènes que chez les femmes.</w:t>
      </w:r>
    </w:p>
    <w:p w14:paraId="116D4E01" w14:textId="6A101D2F" w:rsidR="005A3160" w:rsidRPr="00B23455" w:rsidRDefault="0044428F">
      <w:pPr>
        <w:rPr>
          <w:lang w:val="fr-FR"/>
        </w:rPr>
      </w:pPr>
      <w:r w:rsidRPr="0044428F">
        <w:rPr>
          <w:noProof/>
          <w:lang w:val="fr-FR"/>
        </w:rPr>
        <w:drawing>
          <wp:inline distT="0" distB="0" distL="0" distR="0" wp14:anchorId="23938656" wp14:editId="5CB8DB88">
            <wp:extent cx="5124450" cy="3105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160" w:rsidRPr="00B23455" w:rsidSect="007164EA">
      <w:footerReference w:type="even" r:id="rId17"/>
      <w:footerReference w:type="default" r:id="rId18"/>
      <w:footerReference w:type="first" r:id="rId19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2E5C4" w14:textId="77777777" w:rsidR="0046189A" w:rsidRDefault="0046189A">
      <w:pPr>
        <w:spacing w:after="0" w:line="240" w:lineRule="auto"/>
      </w:pPr>
      <w:r>
        <w:separator/>
      </w:r>
    </w:p>
  </w:endnote>
  <w:endnote w:type="continuationSeparator" w:id="0">
    <w:p w14:paraId="7BB585C0" w14:textId="77777777" w:rsidR="0046189A" w:rsidRDefault="0046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F1EA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7ACD" w14:textId="77777777" w:rsidR="00755D5A" w:rsidRDefault="0046189A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FA09C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C2982" w14:textId="77777777" w:rsidR="0046189A" w:rsidRDefault="0046189A">
      <w:pPr>
        <w:spacing w:after="0" w:line="240" w:lineRule="auto"/>
      </w:pPr>
      <w:r>
        <w:separator/>
      </w:r>
    </w:p>
  </w:footnote>
  <w:footnote w:type="continuationSeparator" w:id="0">
    <w:p w14:paraId="669CFE05" w14:textId="77777777" w:rsidR="0046189A" w:rsidRDefault="00461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rQUA9pBiqCwAAAA="/>
  </w:docVars>
  <w:rsids>
    <w:rsidRoot w:val="00B23455"/>
    <w:rsid w:val="000F4606"/>
    <w:rsid w:val="00133EB0"/>
    <w:rsid w:val="00174083"/>
    <w:rsid w:val="001C1C2F"/>
    <w:rsid w:val="0020023A"/>
    <w:rsid w:val="00235FDF"/>
    <w:rsid w:val="0029558C"/>
    <w:rsid w:val="002F3BAD"/>
    <w:rsid w:val="0032092B"/>
    <w:rsid w:val="0044428F"/>
    <w:rsid w:val="0046189A"/>
    <w:rsid w:val="00491C0B"/>
    <w:rsid w:val="004E3039"/>
    <w:rsid w:val="004F47EF"/>
    <w:rsid w:val="004F5961"/>
    <w:rsid w:val="0059739A"/>
    <w:rsid w:val="005A3160"/>
    <w:rsid w:val="005B0780"/>
    <w:rsid w:val="005C07C6"/>
    <w:rsid w:val="005D3FA4"/>
    <w:rsid w:val="0063057B"/>
    <w:rsid w:val="00692FDB"/>
    <w:rsid w:val="006A4A91"/>
    <w:rsid w:val="007032C0"/>
    <w:rsid w:val="007164EA"/>
    <w:rsid w:val="00736770"/>
    <w:rsid w:val="007D2ABD"/>
    <w:rsid w:val="007F4A9F"/>
    <w:rsid w:val="00871937"/>
    <w:rsid w:val="00882FE5"/>
    <w:rsid w:val="00894802"/>
    <w:rsid w:val="00895D22"/>
    <w:rsid w:val="008B5C74"/>
    <w:rsid w:val="008C373E"/>
    <w:rsid w:val="008F4746"/>
    <w:rsid w:val="009F66FF"/>
    <w:rsid w:val="00A16957"/>
    <w:rsid w:val="00A5164E"/>
    <w:rsid w:val="00AA69B1"/>
    <w:rsid w:val="00B23455"/>
    <w:rsid w:val="00B30943"/>
    <w:rsid w:val="00B3588A"/>
    <w:rsid w:val="00B50A54"/>
    <w:rsid w:val="00B81B6E"/>
    <w:rsid w:val="00C051D6"/>
    <w:rsid w:val="00C40B2A"/>
    <w:rsid w:val="00C678C2"/>
    <w:rsid w:val="00C9790A"/>
    <w:rsid w:val="00DF490D"/>
    <w:rsid w:val="00E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16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50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9</Pages>
  <Words>1126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    Exercices semaines 1 et 2</vt:lpstr>
      <vt:lpstr>    </vt:lpstr>
      <vt:lpstr>    Pour répondre à toutes les questions ci-dessous, vous devez utiliser Stata (et, </vt:lpstr>
      <vt:lpstr>    </vt:lpstr>
      <vt:lpstr>    L’examen est divisé en trois exercices (les points assignés à chaque exercice so</vt:lpstr>
      <vt:lpstr>    </vt:lpstr>
      <vt:lpstr>    Exercice 1 (4%)</vt:lpstr>
      <vt:lpstr>    𝑎𝑒𝑠 = 1 + 0.6∗,𝑛𝑎 − 1.+ 0.4∗𝑛𝑐</vt:lpstr>
      <vt:lpstr>        </vt:lpstr>
      <vt:lpstr>        Exercice 3 (5.5%)</vt:lpstr>
      <vt:lpstr>        </vt:lpstr>
    </vt:vector>
  </TitlesOfParts>
  <Company>Universite Laval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Thierno Diallo</cp:lastModifiedBy>
  <cp:revision>21</cp:revision>
  <dcterms:created xsi:type="dcterms:W3CDTF">2018-02-01T20:50:00Z</dcterms:created>
  <dcterms:modified xsi:type="dcterms:W3CDTF">2021-02-03T22:03:00Z</dcterms:modified>
</cp:coreProperties>
</file>