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BA3" w:rsidRPr="0095699A" w:rsidRDefault="0095699A" w:rsidP="0095699A">
      <w:pPr>
        <w:jc w:val="center"/>
        <w:rPr>
          <w:rFonts w:ascii="Times New Roman" w:hAnsi="Times New Roman" w:cs="Times New Roman"/>
          <w:b/>
        </w:rPr>
      </w:pPr>
      <w:r w:rsidRPr="0095699A">
        <w:rPr>
          <w:rFonts w:ascii="Times New Roman" w:hAnsi="Times New Roman" w:cs="Times New Roman"/>
          <w:b/>
        </w:rPr>
        <w:t>Multidimensional wellbeing and multidimensional poverty</w:t>
      </w:r>
    </w:p>
    <w:p w:rsidR="0095699A" w:rsidRDefault="0095699A" w:rsidP="0095699A">
      <w:pPr>
        <w:jc w:val="center"/>
        <w:rPr>
          <w:rFonts w:ascii="Times New Roman" w:hAnsi="Times New Roman" w:cs="Times New Roman"/>
          <w:b/>
        </w:rPr>
      </w:pPr>
      <w:r w:rsidRPr="0095699A">
        <w:rPr>
          <w:rFonts w:ascii="Times New Roman" w:hAnsi="Times New Roman" w:cs="Times New Roman"/>
          <w:b/>
        </w:rPr>
        <w:t>Mauritania 2008/2014</w:t>
      </w:r>
    </w:p>
    <w:p w:rsidR="00B11520" w:rsidRDefault="00B11520" w:rsidP="0095699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(Paolo &amp; Araar-April 2016)</w:t>
      </w:r>
    </w:p>
    <w:p w:rsidR="0095699A" w:rsidRDefault="0095699A" w:rsidP="0095699A">
      <w:pPr>
        <w:jc w:val="center"/>
        <w:rPr>
          <w:rFonts w:ascii="Times New Roman" w:hAnsi="Times New Roman" w:cs="Times New Roman"/>
          <w:b/>
        </w:rPr>
      </w:pPr>
    </w:p>
    <w:p w:rsidR="00B11520" w:rsidRDefault="0095699A" w:rsidP="00B11520">
      <w:pPr>
        <w:ind w:firstLine="720"/>
        <w:jc w:val="both"/>
        <w:rPr>
          <w:rFonts w:ascii="Times New Roman" w:hAnsi="Times New Roman" w:cs="Times New Roman"/>
        </w:rPr>
      </w:pPr>
      <w:r w:rsidRPr="0095699A">
        <w:rPr>
          <w:rFonts w:ascii="Times New Roman" w:hAnsi="Times New Roman" w:cs="Times New Roman"/>
        </w:rPr>
        <w:t xml:space="preserve">Among the usual approaches </w:t>
      </w:r>
      <w:r w:rsidR="00B11520">
        <w:rPr>
          <w:rFonts w:ascii="Times New Roman" w:hAnsi="Times New Roman" w:cs="Times New Roman"/>
        </w:rPr>
        <w:t>to assess the Multidimensional wellbeing</w:t>
      </w:r>
      <w:r>
        <w:rPr>
          <w:rFonts w:ascii="Times New Roman" w:hAnsi="Times New Roman" w:cs="Times New Roman"/>
        </w:rPr>
        <w:t xml:space="preserve">, is to start beforehand by estimating a MD indicator of wellbeing which synthesizes the level of wellbeing based </w:t>
      </w:r>
      <w:r w:rsidR="00B11520">
        <w:rPr>
          <w:rFonts w:ascii="Times New Roman" w:hAnsi="Times New Roman" w:cs="Times New Roman"/>
        </w:rPr>
        <w:t xml:space="preserve">on the </w:t>
      </w:r>
      <w:r>
        <w:rPr>
          <w:rFonts w:ascii="Times New Roman" w:hAnsi="Times New Roman" w:cs="Times New Roman"/>
        </w:rPr>
        <w:t>different dimension</w:t>
      </w:r>
      <w:r w:rsidR="00B11520">
        <w:rPr>
          <w:rFonts w:ascii="Times New Roman" w:hAnsi="Times New Roman" w:cs="Times New Roman"/>
        </w:rPr>
        <w:t>s (monetary</w:t>
      </w:r>
      <w:r>
        <w:rPr>
          <w:rFonts w:ascii="Times New Roman" w:hAnsi="Times New Roman" w:cs="Times New Roman"/>
        </w:rPr>
        <w:t>, housing, education, heath, etc</w:t>
      </w:r>
      <w:r w:rsidR="00B11520">
        <w:rPr>
          <w:rFonts w:ascii="Times New Roman" w:hAnsi="Times New Roman" w:cs="Times New Roman"/>
        </w:rPr>
        <w:t>...)</w:t>
      </w:r>
      <w:r>
        <w:rPr>
          <w:rFonts w:ascii="Times New Roman" w:hAnsi="Times New Roman" w:cs="Times New Roman"/>
        </w:rPr>
        <w:t xml:space="preserve">. </w:t>
      </w:r>
    </w:p>
    <w:p w:rsidR="0095699A" w:rsidRDefault="0095699A" w:rsidP="00B11520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Usually, we use a set of indicators for each dimension.   When the indicators are in continues form, a simple Principle Component Analyse   (PCA) can be </w:t>
      </w:r>
      <w:r w:rsidR="00B11520">
        <w:rPr>
          <w:rFonts w:ascii="Times New Roman" w:hAnsi="Times New Roman" w:cs="Times New Roman"/>
        </w:rPr>
        <w:t>used, and</w:t>
      </w:r>
      <w:r>
        <w:rPr>
          <w:rFonts w:ascii="Times New Roman" w:hAnsi="Times New Roman" w:cs="Times New Roman"/>
        </w:rPr>
        <w:t xml:space="preserve"> where the first factorial axis is assumed to be highly correlated with the MD wellbeing.</w:t>
      </w:r>
      <w:r w:rsidR="00B115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the case where the indicators are categorical, the appropriate approach is the Multiple Correspondence Analysis (MCA). </w:t>
      </w:r>
    </w:p>
    <w:p w:rsidR="00B11520" w:rsidRDefault="0095699A" w:rsidP="00B11520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</w:t>
      </w:r>
      <w:r w:rsidR="00B11520">
        <w:rPr>
          <w:rFonts w:ascii="Times New Roman" w:hAnsi="Times New Roman" w:cs="Times New Roman"/>
        </w:rPr>
        <w:t>Mauritanian</w:t>
      </w:r>
      <w:r>
        <w:rPr>
          <w:rFonts w:ascii="Times New Roman" w:hAnsi="Times New Roman" w:cs="Times New Roman"/>
        </w:rPr>
        <w:t xml:space="preserve"> data, the first step was to pool the data of 2008 and 2014, and then to run the MCA e</w:t>
      </w:r>
      <w:r w:rsidR="00095DAA">
        <w:rPr>
          <w:rFonts w:ascii="Times New Roman" w:hAnsi="Times New Roman" w:cs="Times New Roman"/>
        </w:rPr>
        <w:t>stimation.  Basically, we use 33</w:t>
      </w:r>
      <w:r>
        <w:rPr>
          <w:rFonts w:ascii="Times New Roman" w:hAnsi="Times New Roman" w:cs="Times New Roman"/>
        </w:rPr>
        <w:t xml:space="preserve"> indicators (see the annex A).</w:t>
      </w:r>
      <w:r w:rsidR="001743B9">
        <w:rPr>
          <w:rFonts w:ascii="Times New Roman" w:hAnsi="Times New Roman" w:cs="Times New Roman"/>
        </w:rPr>
        <w:t xml:space="preserve"> We use the</w:t>
      </w:r>
      <w:r w:rsidR="00B11520">
        <w:rPr>
          <w:rFonts w:ascii="Times New Roman" w:hAnsi="Times New Roman" w:cs="Times New Roman"/>
        </w:rPr>
        <w:t xml:space="preserve"> variable</w:t>
      </w:r>
      <w:r w:rsidR="001743B9">
        <w:rPr>
          <w:rFonts w:ascii="Times New Roman" w:hAnsi="Times New Roman" w:cs="Times New Roman"/>
        </w:rPr>
        <w:t xml:space="preserve"> quintile as a sup</w:t>
      </w:r>
      <w:r w:rsidR="00B11520">
        <w:rPr>
          <w:rFonts w:ascii="Times New Roman" w:hAnsi="Times New Roman" w:cs="Times New Roman"/>
        </w:rPr>
        <w:t xml:space="preserve">plementary variable to check where the monetary indicator is correlated </w:t>
      </w:r>
      <w:r w:rsidR="00F62E9C">
        <w:rPr>
          <w:rFonts w:ascii="Times New Roman" w:hAnsi="Times New Roman" w:cs="Times New Roman"/>
        </w:rPr>
        <w:t>with the</w:t>
      </w:r>
      <w:r w:rsidR="001743B9">
        <w:rPr>
          <w:rFonts w:ascii="Times New Roman" w:hAnsi="Times New Roman" w:cs="Times New Roman"/>
        </w:rPr>
        <w:t xml:space="preserve"> MD wellbeing</w:t>
      </w:r>
      <w:r w:rsidR="00B11520">
        <w:rPr>
          <w:rFonts w:ascii="Times New Roman" w:hAnsi="Times New Roman" w:cs="Times New Roman"/>
        </w:rPr>
        <w:t xml:space="preserve"> (First factorial axis).</w:t>
      </w:r>
    </w:p>
    <w:p w:rsidR="0095699A" w:rsidRDefault="0095699A" w:rsidP="00B11520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results show that the first </w:t>
      </w:r>
      <w:r w:rsidR="00CB4921">
        <w:rPr>
          <w:rFonts w:ascii="Times New Roman" w:hAnsi="Times New Roman" w:cs="Times New Roman"/>
        </w:rPr>
        <w:t>factorial axis explains more than 83</w:t>
      </w:r>
      <w:r>
        <w:rPr>
          <w:rFonts w:ascii="Times New Roman" w:hAnsi="Times New Roman" w:cs="Times New Roman"/>
        </w:rPr>
        <w:t xml:space="preserve">% of the total inertia (total variability), which it </w:t>
      </w:r>
      <w:r w:rsidR="00B11520">
        <w:rPr>
          <w:rFonts w:ascii="Times New Roman" w:hAnsi="Times New Roman" w:cs="Times New Roman"/>
        </w:rPr>
        <w:t>a good result</w:t>
      </w:r>
      <w:r>
        <w:rPr>
          <w:rFonts w:ascii="Times New Roman" w:hAnsi="Times New Roman" w:cs="Times New Roman"/>
        </w:rPr>
        <w:t xml:space="preserve"> based on other empirical works.  </w:t>
      </w:r>
    </w:p>
    <w:p w:rsidR="0095699A" w:rsidRPr="0095699A" w:rsidRDefault="0095699A" w:rsidP="0095699A">
      <w:pPr>
        <w:rPr>
          <w:rFonts w:ascii="Times New Roman" w:hAnsi="Times New Roman" w:cs="Times New Roman"/>
        </w:rPr>
      </w:pPr>
    </w:p>
    <w:p w:rsidR="0095699A" w:rsidRDefault="00DF7122">
      <w:r w:rsidRPr="00DF7122">
        <w:rPr>
          <w:noProof/>
          <w:lang w:eastAsia="en-CA"/>
        </w:rPr>
        <w:drawing>
          <wp:inline distT="0" distB="0" distL="0" distR="0">
            <wp:extent cx="4591050" cy="3141958"/>
            <wp:effectExtent l="0" t="0" r="0" b="190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353"/>
                    <a:stretch/>
                  </pic:blipFill>
                  <pic:spPr bwMode="auto">
                    <a:xfrm>
                      <a:off x="0" y="0"/>
                      <a:ext cx="4607477" cy="31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3B9" w:rsidRDefault="001743B9"/>
    <w:p w:rsidR="001743B9" w:rsidRDefault="001743B9"/>
    <w:p w:rsidR="001743B9" w:rsidRDefault="001743B9"/>
    <w:p w:rsidR="001743B9" w:rsidRDefault="001743B9"/>
    <w:p w:rsidR="001743B9" w:rsidRDefault="001743B9" w:rsidP="00B11520">
      <w:pPr>
        <w:ind w:firstLine="720"/>
        <w:jc w:val="both"/>
      </w:pPr>
      <w:r>
        <w:t>As is well-known</w:t>
      </w:r>
      <w:r w:rsidR="00B11520">
        <w:t xml:space="preserve">, </w:t>
      </w:r>
      <w:r>
        <w:t xml:space="preserve">for the factorial analysis, the sign of </w:t>
      </w:r>
      <w:r w:rsidR="00B11520">
        <w:t>coordinates</w:t>
      </w:r>
      <w:r>
        <w:t xml:space="preserve"> is not important and </w:t>
      </w:r>
      <w:r w:rsidR="00B11520">
        <w:t xml:space="preserve">it </w:t>
      </w:r>
      <w:r>
        <w:t xml:space="preserve">can be inverted. The following figure shows the consistency </w:t>
      </w:r>
      <w:r w:rsidR="00B11520">
        <w:t>of ordination of quintile based</w:t>
      </w:r>
      <w:r>
        <w:t xml:space="preserve"> the first factorial axis</w:t>
      </w:r>
      <w:r w:rsidR="00B11520">
        <w:t xml:space="preserve"> (we can invert the sigh here: the sigh can be inverted when we observe that the first axis rank the modalities from the better to the worst modalities of the used basic indicators). </w:t>
      </w:r>
    </w:p>
    <w:p w:rsidR="001743B9" w:rsidRDefault="001743B9"/>
    <w:p w:rsidR="001743B9" w:rsidRDefault="00DF7122">
      <w:r w:rsidRPr="00DF7122">
        <w:rPr>
          <w:noProof/>
          <w:lang w:eastAsia="en-CA"/>
        </w:rPr>
        <w:drawing>
          <wp:inline distT="0" distB="0" distL="0" distR="0">
            <wp:extent cx="5114925" cy="374332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122" w:rsidRDefault="00DF7122">
      <w:r w:rsidRPr="00DF7122">
        <w:rPr>
          <w:noProof/>
          <w:lang w:eastAsia="en-CA"/>
        </w:rPr>
        <w:drawing>
          <wp:inline distT="0" distB="0" distL="0" distR="0">
            <wp:extent cx="4356370" cy="26670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341"/>
                    <a:stretch/>
                  </pic:blipFill>
                  <pic:spPr bwMode="auto">
                    <a:xfrm>
                      <a:off x="0" y="0"/>
                      <a:ext cx="4388332" cy="268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699A" w:rsidRDefault="0095699A">
      <w:r>
        <w:br w:type="page"/>
      </w:r>
      <w:r w:rsidR="00DF7122" w:rsidRPr="00DF7122">
        <w:rPr>
          <w:noProof/>
          <w:lang w:eastAsia="en-CA"/>
        </w:rPr>
        <w:lastRenderedPageBreak/>
        <w:drawing>
          <wp:inline distT="0" distB="0" distL="0" distR="0">
            <wp:extent cx="5162550" cy="374332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99A" w:rsidRDefault="0095699A">
      <w:r>
        <w:t>The improvement in rural area concern the main</w:t>
      </w:r>
      <w:r w:rsidR="001743B9">
        <w:t>ly</w:t>
      </w:r>
      <w:r>
        <w:t xml:space="preserve"> </w:t>
      </w:r>
      <w:r w:rsidR="001743B9">
        <w:t>the poo</w:t>
      </w:r>
      <w:r>
        <w:t xml:space="preserve">r </w:t>
      </w:r>
      <w:r w:rsidR="001743B9">
        <w:t>group</w:t>
      </w:r>
      <w:r>
        <w:t xml:space="preserve">  </w:t>
      </w:r>
    </w:p>
    <w:p w:rsidR="0095699A" w:rsidRDefault="00DF7122">
      <w:r w:rsidRPr="00DF7122">
        <w:rPr>
          <w:noProof/>
          <w:lang w:eastAsia="en-CA"/>
        </w:rPr>
        <w:drawing>
          <wp:inline distT="0" distB="0" distL="0" distR="0">
            <wp:extent cx="5162550" cy="3743325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99A" w:rsidRDefault="0095699A">
      <w:r>
        <w:t xml:space="preserve">The improvement was higher in urban area. </w:t>
      </w:r>
    </w:p>
    <w:p w:rsidR="00B11520" w:rsidRDefault="00B11520"/>
    <w:p w:rsidR="00B11520" w:rsidRDefault="00B11520">
      <w:r>
        <w:t xml:space="preserve"> </w:t>
      </w:r>
      <w:r w:rsidR="00CB4921">
        <w:t xml:space="preserve">As we can observe the used indicators cover mainly two dimensions, 1-Assets and durable goods; 2- Housing and related facilities. Thus, we can compute the absolute contribution of each sub group of indicators (dimensions) to the total score. 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4315"/>
        <w:gridCol w:w="4315"/>
      </w:tblGrid>
      <w:tr w:rsidR="00B11520" w:rsidTr="00B11520">
        <w:trPr>
          <w:jc w:val="center"/>
        </w:trPr>
        <w:tc>
          <w:tcPr>
            <w:tcW w:w="8630" w:type="dxa"/>
            <w:gridSpan w:val="2"/>
            <w:shd w:val="clear" w:color="auto" w:fill="E7E6E6" w:themeFill="background2"/>
          </w:tcPr>
          <w:p w:rsidR="00B11520" w:rsidRPr="00B11520" w:rsidRDefault="00B11520" w:rsidP="00B11520">
            <w:pPr>
              <w:jc w:val="center"/>
              <w:rPr>
                <w:b/>
                <w:i/>
              </w:rPr>
            </w:pPr>
            <w:r w:rsidRPr="00B11520">
              <w:rPr>
                <w:b/>
                <w:i/>
              </w:rPr>
              <w:t>Rural area</w:t>
            </w:r>
          </w:p>
        </w:tc>
      </w:tr>
      <w:tr w:rsidR="003E3909" w:rsidTr="00B11520">
        <w:trPr>
          <w:jc w:val="center"/>
        </w:trPr>
        <w:tc>
          <w:tcPr>
            <w:tcW w:w="4315" w:type="dxa"/>
            <w:shd w:val="clear" w:color="auto" w:fill="E7E6E6" w:themeFill="background2"/>
          </w:tcPr>
          <w:p w:rsidR="00B11520" w:rsidRDefault="003E3909">
            <w:r w:rsidRPr="003E3909">
              <w:rPr>
                <w:noProof/>
                <w:lang w:eastAsia="en-CA"/>
              </w:rPr>
              <w:drawing>
                <wp:inline distT="0" distB="0" distL="0" distR="0">
                  <wp:extent cx="2543175" cy="1840640"/>
                  <wp:effectExtent l="0" t="0" r="0" b="762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5156" cy="1878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5" w:type="dxa"/>
            <w:shd w:val="clear" w:color="auto" w:fill="E7E6E6" w:themeFill="background2"/>
          </w:tcPr>
          <w:p w:rsidR="00B11520" w:rsidRDefault="003E3909">
            <w:r w:rsidRPr="003E3909">
              <w:rPr>
                <w:noProof/>
                <w:lang w:eastAsia="en-CA"/>
              </w:rPr>
              <w:drawing>
                <wp:inline distT="0" distB="0" distL="0" distR="0">
                  <wp:extent cx="2537927" cy="1840230"/>
                  <wp:effectExtent l="0" t="0" r="0" b="762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4938" cy="1867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520" w:rsidTr="00B11520">
        <w:trPr>
          <w:jc w:val="center"/>
        </w:trPr>
        <w:tc>
          <w:tcPr>
            <w:tcW w:w="8630" w:type="dxa"/>
            <w:gridSpan w:val="2"/>
            <w:shd w:val="clear" w:color="auto" w:fill="E7E6E6" w:themeFill="background2"/>
          </w:tcPr>
          <w:p w:rsidR="00B11520" w:rsidRDefault="00B11520" w:rsidP="00B11520">
            <w:pPr>
              <w:jc w:val="center"/>
            </w:pPr>
            <w:r>
              <w:rPr>
                <w:b/>
                <w:i/>
              </w:rPr>
              <w:t>Urban</w:t>
            </w:r>
            <w:r w:rsidRPr="00B11520">
              <w:rPr>
                <w:b/>
                <w:i/>
              </w:rPr>
              <w:t xml:space="preserve"> area</w:t>
            </w:r>
          </w:p>
        </w:tc>
      </w:tr>
      <w:tr w:rsidR="003E3909" w:rsidTr="00B11520">
        <w:trPr>
          <w:jc w:val="center"/>
        </w:trPr>
        <w:tc>
          <w:tcPr>
            <w:tcW w:w="4315" w:type="dxa"/>
            <w:shd w:val="clear" w:color="auto" w:fill="E7E6E6" w:themeFill="background2"/>
          </w:tcPr>
          <w:p w:rsidR="00B11520" w:rsidRDefault="003E3909">
            <w:r w:rsidRPr="003E3909">
              <w:rPr>
                <w:noProof/>
                <w:lang w:eastAsia="en-CA"/>
              </w:rPr>
              <w:drawing>
                <wp:inline distT="0" distB="0" distL="0" distR="0">
                  <wp:extent cx="2543175" cy="1844037"/>
                  <wp:effectExtent l="0" t="0" r="0" b="4445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649" cy="1864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5" w:type="dxa"/>
            <w:shd w:val="clear" w:color="auto" w:fill="E7E6E6" w:themeFill="background2"/>
          </w:tcPr>
          <w:p w:rsidR="00B11520" w:rsidRDefault="003E3909">
            <w:r w:rsidRPr="003E3909">
              <w:rPr>
                <w:noProof/>
                <w:lang w:eastAsia="en-CA"/>
              </w:rPr>
              <w:drawing>
                <wp:inline distT="0" distB="0" distL="0" distR="0">
                  <wp:extent cx="2538015" cy="1841881"/>
                  <wp:effectExtent l="0" t="0" r="0" b="635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8750" cy="1864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1520" w:rsidRDefault="00B11520" w:rsidP="00B11520">
      <w:pPr>
        <w:pStyle w:val="Paragraphedeliste"/>
        <w:numPr>
          <w:ilvl w:val="0"/>
          <w:numId w:val="2"/>
        </w:numPr>
      </w:pPr>
      <w:r>
        <w:t xml:space="preserve">In rural area, the improvements concern principally the assets and durable good dimension.  </w:t>
      </w:r>
    </w:p>
    <w:p w:rsidR="00B11520" w:rsidRDefault="00B11520" w:rsidP="00B11520">
      <w:pPr>
        <w:pStyle w:val="Paragraphedeliste"/>
      </w:pPr>
    </w:p>
    <w:p w:rsidR="00B11520" w:rsidRDefault="00B11520">
      <w:r>
        <w:br w:type="page"/>
      </w:r>
      <w:bookmarkStart w:id="0" w:name="_GoBack"/>
      <w:bookmarkEnd w:id="0"/>
    </w:p>
    <w:p w:rsidR="0095699A" w:rsidRDefault="0095699A"/>
    <w:p w:rsidR="0095699A" w:rsidRDefault="0095699A"/>
    <w:p w:rsidR="0095699A" w:rsidRDefault="0095699A">
      <w:r>
        <w:t>Annex A</w:t>
      </w:r>
    </w:p>
    <w:p w:rsidR="0095699A" w:rsidRDefault="00E66BA3">
      <w:r>
        <w:fldChar w:fldCharType="begin"/>
      </w:r>
      <w:r>
        <w:instrText xml:space="preserve"> LINK Excel.Sheet.12 "Classeur3" "Feuil1!L3C1:L54C3" \a \f 4 \h </w:instrText>
      </w:r>
      <w:r w:rsidR="00CB4921">
        <w:instrText xml:space="preserve"> \* MERGEFORMAT </w:instrText>
      </w:r>
      <w:r>
        <w:fldChar w:fldCharType="separate"/>
      </w:r>
    </w:p>
    <w:tbl>
      <w:tblPr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"/>
        <w:gridCol w:w="1200"/>
        <w:gridCol w:w="7658"/>
      </w:tblGrid>
      <w:tr w:rsidR="00CB4921" w:rsidRPr="0095699A" w:rsidTr="00C140E6">
        <w:trPr>
          <w:divId w:val="1271400977"/>
          <w:trHeight w:val="180"/>
        </w:trPr>
        <w:tc>
          <w:tcPr>
            <w:tcW w:w="9498" w:type="dxa"/>
            <w:gridSpan w:val="3"/>
            <w:shd w:val="clear" w:color="auto" w:fill="auto"/>
            <w:noWrap/>
            <w:vAlign w:val="bottom"/>
          </w:tcPr>
          <w:p w:rsidR="00CB4921" w:rsidRPr="00CB4921" w:rsidRDefault="00CB4921" w:rsidP="0095699A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000000"/>
                <w:sz w:val="18"/>
                <w:szCs w:val="18"/>
                <w:lang w:eastAsia="en-CA"/>
              </w:rPr>
            </w:pPr>
            <w:r w:rsidRPr="00CB4921">
              <w:rPr>
                <w:rFonts w:ascii="Calibri" w:eastAsia="Times New Roman" w:hAnsi="Calibri" w:cs="Times New Roman"/>
                <w:b/>
                <w:i/>
                <w:color w:val="000000"/>
                <w:sz w:val="18"/>
                <w:szCs w:val="18"/>
                <w:lang w:eastAsia="en-CA"/>
              </w:rPr>
              <w:t>DIM1: Assets and durable goods</w:t>
            </w:r>
          </w:p>
        </w:tc>
      </w:tr>
      <w:tr w:rsidR="00CB4921" w:rsidRPr="001743B9" w:rsidTr="00C140E6">
        <w:trPr>
          <w:divId w:val="1271400977"/>
          <w:trHeight w:val="18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CB4921" w:rsidRPr="0095699A" w:rsidRDefault="00C140E6" w:rsidP="00CB49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B4921" w:rsidRPr="0095699A" w:rsidRDefault="00CB4921" w:rsidP="00CB49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f4</w:t>
            </w:r>
          </w:p>
        </w:tc>
        <w:tc>
          <w:tcPr>
            <w:tcW w:w="7658" w:type="dxa"/>
            <w:shd w:val="clear" w:color="auto" w:fill="auto"/>
            <w:noWrap/>
            <w:vAlign w:val="bottom"/>
            <w:hideMark/>
          </w:tcPr>
          <w:p w:rsidR="00CB4921" w:rsidRPr="0095699A" w:rsidRDefault="00CB4921" w:rsidP="00CB49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 xml:space="preserve">Comment la superficie de terre agricole </w:t>
            </w:r>
            <w:proofErr w:type="spellStart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>possedee</w:t>
            </w:r>
            <w:proofErr w:type="spellEnd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 xml:space="preserve"> est-elle par rapport à celle</w:t>
            </w:r>
          </w:p>
        </w:tc>
      </w:tr>
      <w:tr w:rsidR="00CB4921" w:rsidRPr="001743B9" w:rsidTr="00C140E6">
        <w:trPr>
          <w:divId w:val="1271400977"/>
          <w:trHeight w:val="18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CB4921" w:rsidRPr="0095699A" w:rsidRDefault="00C140E6" w:rsidP="00CB49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B4921" w:rsidRPr="0095699A" w:rsidRDefault="00CB4921" w:rsidP="00CB49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f5</w:t>
            </w:r>
          </w:p>
        </w:tc>
        <w:tc>
          <w:tcPr>
            <w:tcW w:w="7658" w:type="dxa"/>
            <w:shd w:val="clear" w:color="auto" w:fill="auto"/>
            <w:noWrap/>
            <w:vAlign w:val="bottom"/>
            <w:hideMark/>
          </w:tcPr>
          <w:p w:rsidR="00CB4921" w:rsidRPr="0095699A" w:rsidRDefault="00CB4921" w:rsidP="00CB49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 xml:space="preserve">Le </w:t>
            </w:r>
            <w:proofErr w:type="spellStart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>menage</w:t>
            </w:r>
            <w:proofErr w:type="spellEnd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 xml:space="preserve"> utilise-t-il des terres agricoles qu'il ne possède pas ?</w:t>
            </w:r>
          </w:p>
        </w:tc>
      </w:tr>
      <w:tr w:rsidR="00CB4921" w:rsidRPr="001743B9" w:rsidTr="00C140E6">
        <w:trPr>
          <w:divId w:val="1271400977"/>
          <w:trHeight w:val="18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CB4921" w:rsidRPr="0095699A" w:rsidRDefault="00C140E6" w:rsidP="00CB49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B4921" w:rsidRPr="0095699A" w:rsidRDefault="00CB4921" w:rsidP="00CB49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f8</w:t>
            </w:r>
          </w:p>
        </w:tc>
        <w:tc>
          <w:tcPr>
            <w:tcW w:w="7658" w:type="dxa"/>
            <w:shd w:val="clear" w:color="auto" w:fill="auto"/>
            <w:noWrap/>
            <w:vAlign w:val="bottom"/>
            <w:hideMark/>
          </w:tcPr>
          <w:p w:rsidR="00CB4921" w:rsidRPr="0095699A" w:rsidRDefault="00CB4921" w:rsidP="00CB49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 xml:space="preserve">Combien de têtes de bovins et camelins le </w:t>
            </w:r>
            <w:proofErr w:type="spellStart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>menage</w:t>
            </w:r>
            <w:proofErr w:type="spellEnd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 xml:space="preserve"> possède-t-il actuellement </w:t>
            </w:r>
          </w:p>
        </w:tc>
      </w:tr>
      <w:tr w:rsidR="00CB4921" w:rsidRPr="001743B9" w:rsidTr="00C140E6">
        <w:trPr>
          <w:divId w:val="1271400977"/>
          <w:trHeight w:val="18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CB4921" w:rsidRPr="0095699A" w:rsidRDefault="00C140E6" w:rsidP="00CB49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B4921" w:rsidRPr="0095699A" w:rsidRDefault="00CB4921" w:rsidP="00CB49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f9</w:t>
            </w:r>
          </w:p>
        </w:tc>
        <w:tc>
          <w:tcPr>
            <w:tcW w:w="7658" w:type="dxa"/>
            <w:shd w:val="clear" w:color="auto" w:fill="auto"/>
            <w:noWrap/>
            <w:vAlign w:val="bottom"/>
            <w:hideMark/>
          </w:tcPr>
          <w:p w:rsidR="00CB4921" w:rsidRPr="0095699A" w:rsidRDefault="00CB4921" w:rsidP="00CB49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 xml:space="preserve">Comment ce nombre de têtes de </w:t>
            </w:r>
            <w:proofErr w:type="spellStart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>betail</w:t>
            </w:r>
            <w:proofErr w:type="spellEnd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 xml:space="preserve"> est-il par rapport à il y a un an</w:t>
            </w:r>
          </w:p>
        </w:tc>
      </w:tr>
      <w:tr w:rsidR="00CB4921" w:rsidRPr="001743B9" w:rsidTr="00C140E6">
        <w:trPr>
          <w:divId w:val="1271400977"/>
          <w:trHeight w:val="18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CB4921" w:rsidRPr="0095699A" w:rsidRDefault="00C140E6" w:rsidP="00CB49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B4921" w:rsidRPr="0095699A" w:rsidRDefault="00CB4921" w:rsidP="00CB49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f10</w:t>
            </w:r>
          </w:p>
        </w:tc>
        <w:tc>
          <w:tcPr>
            <w:tcW w:w="7658" w:type="dxa"/>
            <w:shd w:val="clear" w:color="auto" w:fill="auto"/>
            <w:noWrap/>
            <w:vAlign w:val="bottom"/>
            <w:hideMark/>
          </w:tcPr>
          <w:p w:rsidR="00CB4921" w:rsidRPr="0095699A" w:rsidRDefault="00CB4921" w:rsidP="00CB49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 xml:space="preserve">Combien de têtes de moutons et chèvres le </w:t>
            </w:r>
            <w:proofErr w:type="spellStart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>menage</w:t>
            </w:r>
            <w:proofErr w:type="spellEnd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 xml:space="preserve"> possède-t-il actuellement?</w:t>
            </w:r>
          </w:p>
        </w:tc>
      </w:tr>
      <w:tr w:rsidR="00CB4921" w:rsidRPr="001743B9" w:rsidTr="00C140E6">
        <w:trPr>
          <w:divId w:val="1271400977"/>
          <w:trHeight w:val="18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CB4921" w:rsidRPr="0095699A" w:rsidRDefault="00C140E6" w:rsidP="00CB49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B4921" w:rsidRPr="0095699A" w:rsidRDefault="00CB4921" w:rsidP="00CB49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f11</w:t>
            </w:r>
          </w:p>
        </w:tc>
        <w:tc>
          <w:tcPr>
            <w:tcW w:w="7658" w:type="dxa"/>
            <w:shd w:val="clear" w:color="auto" w:fill="auto"/>
            <w:noWrap/>
            <w:vAlign w:val="bottom"/>
            <w:hideMark/>
          </w:tcPr>
          <w:p w:rsidR="00CB4921" w:rsidRPr="0095699A" w:rsidRDefault="00CB4921" w:rsidP="00CB49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>Comment ce nombre d'animaux est-il par rapport à il y a un an ?</w:t>
            </w:r>
          </w:p>
        </w:tc>
      </w:tr>
      <w:tr w:rsidR="00CB4921" w:rsidRPr="001743B9" w:rsidTr="00C140E6">
        <w:trPr>
          <w:divId w:val="1271400977"/>
          <w:trHeight w:val="18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CB4921" w:rsidRPr="0095699A" w:rsidRDefault="00C140E6" w:rsidP="00CB49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B4921" w:rsidRPr="0095699A" w:rsidRDefault="00CB4921" w:rsidP="00CB49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f12</w:t>
            </w:r>
          </w:p>
        </w:tc>
        <w:tc>
          <w:tcPr>
            <w:tcW w:w="7658" w:type="dxa"/>
            <w:shd w:val="clear" w:color="auto" w:fill="auto"/>
            <w:noWrap/>
            <w:vAlign w:val="bottom"/>
            <w:hideMark/>
          </w:tcPr>
          <w:p w:rsidR="00CB4921" w:rsidRPr="0095699A" w:rsidRDefault="00CB4921" w:rsidP="00CB49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 xml:space="preserve">Combien de têtes d'ânes et de chevaux le </w:t>
            </w:r>
            <w:proofErr w:type="spellStart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>menage</w:t>
            </w:r>
            <w:proofErr w:type="spellEnd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 xml:space="preserve"> possède-t-il actuellement ?</w:t>
            </w:r>
          </w:p>
        </w:tc>
      </w:tr>
      <w:tr w:rsidR="00CB4921" w:rsidRPr="001743B9" w:rsidTr="00C140E6">
        <w:trPr>
          <w:divId w:val="1271400977"/>
          <w:trHeight w:val="18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CB4921" w:rsidRPr="0095699A" w:rsidRDefault="00C140E6" w:rsidP="00CB49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B4921" w:rsidRPr="0095699A" w:rsidRDefault="00CB4921" w:rsidP="00CB49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f13</w:t>
            </w:r>
          </w:p>
        </w:tc>
        <w:tc>
          <w:tcPr>
            <w:tcW w:w="7658" w:type="dxa"/>
            <w:shd w:val="clear" w:color="auto" w:fill="auto"/>
            <w:noWrap/>
            <w:vAlign w:val="bottom"/>
            <w:hideMark/>
          </w:tcPr>
          <w:p w:rsidR="00CB4921" w:rsidRPr="0095699A" w:rsidRDefault="00CB4921" w:rsidP="00CB49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>Comment ce nombre d'animaux est-il par rapport à il y a un an ?</w:t>
            </w:r>
          </w:p>
        </w:tc>
      </w:tr>
      <w:tr w:rsidR="00CB4921" w:rsidRPr="001743B9" w:rsidTr="00C140E6">
        <w:trPr>
          <w:divId w:val="1271400977"/>
          <w:trHeight w:val="18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CB4921" w:rsidRPr="0095699A" w:rsidRDefault="00C140E6" w:rsidP="00CB49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B4921" w:rsidRPr="0095699A" w:rsidRDefault="00CB4921" w:rsidP="00CB49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f14</w:t>
            </w:r>
          </w:p>
        </w:tc>
        <w:tc>
          <w:tcPr>
            <w:tcW w:w="7658" w:type="dxa"/>
            <w:shd w:val="clear" w:color="auto" w:fill="auto"/>
            <w:noWrap/>
            <w:vAlign w:val="bottom"/>
            <w:hideMark/>
          </w:tcPr>
          <w:p w:rsidR="00CB4921" w:rsidRPr="0095699A" w:rsidRDefault="00CB4921" w:rsidP="00CB49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 xml:space="preserve">Combien de volailles le </w:t>
            </w:r>
            <w:proofErr w:type="spellStart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>menage</w:t>
            </w:r>
            <w:proofErr w:type="spellEnd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 xml:space="preserve"> possède-t-il actuellement ?</w:t>
            </w:r>
          </w:p>
        </w:tc>
      </w:tr>
      <w:tr w:rsidR="00CB4921" w:rsidRPr="001743B9" w:rsidTr="00C140E6">
        <w:trPr>
          <w:divId w:val="1271400977"/>
          <w:trHeight w:val="18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CB4921" w:rsidRPr="0095699A" w:rsidRDefault="00C140E6" w:rsidP="00CB49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10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B4921" w:rsidRPr="0095699A" w:rsidRDefault="00CB4921" w:rsidP="00CB49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f15</w:t>
            </w:r>
          </w:p>
        </w:tc>
        <w:tc>
          <w:tcPr>
            <w:tcW w:w="7658" w:type="dxa"/>
            <w:shd w:val="clear" w:color="auto" w:fill="auto"/>
            <w:noWrap/>
            <w:vAlign w:val="bottom"/>
            <w:hideMark/>
          </w:tcPr>
          <w:p w:rsidR="00CB4921" w:rsidRPr="0095699A" w:rsidRDefault="00CB4921" w:rsidP="00CB49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>Comment ce nombre de volailles est-il par rapport à il y a un an ?</w:t>
            </w:r>
          </w:p>
        </w:tc>
      </w:tr>
      <w:tr w:rsidR="00CB4921" w:rsidRPr="001743B9" w:rsidTr="00C140E6">
        <w:trPr>
          <w:divId w:val="1271400977"/>
          <w:trHeight w:val="18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CB4921" w:rsidRPr="0095699A" w:rsidRDefault="00C140E6" w:rsidP="00CB49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B4921" w:rsidRPr="0095699A" w:rsidRDefault="00CB4921" w:rsidP="00CB49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f16a</w:t>
            </w:r>
          </w:p>
        </w:tc>
        <w:tc>
          <w:tcPr>
            <w:tcW w:w="7658" w:type="dxa"/>
            <w:shd w:val="clear" w:color="auto" w:fill="auto"/>
            <w:noWrap/>
            <w:vAlign w:val="bottom"/>
            <w:hideMark/>
          </w:tcPr>
          <w:p w:rsidR="00CB4921" w:rsidRPr="0095699A" w:rsidRDefault="00CB4921" w:rsidP="00CB49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</w:pPr>
            <w:proofErr w:type="spellStart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>Menage</w:t>
            </w:r>
            <w:proofErr w:type="spellEnd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 xml:space="preserve"> possède-t-il un fer à repasser </w:t>
            </w:r>
            <w:proofErr w:type="spellStart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>electrique</w:t>
            </w:r>
            <w:proofErr w:type="spellEnd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>?</w:t>
            </w:r>
          </w:p>
        </w:tc>
      </w:tr>
      <w:tr w:rsidR="00CB4921" w:rsidRPr="001743B9" w:rsidTr="00C140E6">
        <w:trPr>
          <w:divId w:val="1271400977"/>
          <w:trHeight w:val="18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CB4921" w:rsidRPr="0095699A" w:rsidRDefault="00C140E6" w:rsidP="00CB49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12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B4921" w:rsidRPr="0095699A" w:rsidRDefault="00CB4921" w:rsidP="00CB49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f16b</w:t>
            </w:r>
          </w:p>
        </w:tc>
        <w:tc>
          <w:tcPr>
            <w:tcW w:w="7658" w:type="dxa"/>
            <w:shd w:val="clear" w:color="auto" w:fill="auto"/>
            <w:noWrap/>
            <w:vAlign w:val="bottom"/>
            <w:hideMark/>
          </w:tcPr>
          <w:p w:rsidR="00CB4921" w:rsidRPr="0095699A" w:rsidRDefault="00CB4921" w:rsidP="00CB49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</w:pPr>
            <w:proofErr w:type="spellStart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>Menage</w:t>
            </w:r>
            <w:proofErr w:type="spellEnd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 xml:space="preserve"> possède-t-il un </w:t>
            </w:r>
            <w:proofErr w:type="spellStart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>refrigerateur</w:t>
            </w:r>
            <w:proofErr w:type="spellEnd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>?</w:t>
            </w:r>
          </w:p>
        </w:tc>
      </w:tr>
      <w:tr w:rsidR="00CB4921" w:rsidRPr="001743B9" w:rsidTr="00C140E6">
        <w:trPr>
          <w:divId w:val="1271400977"/>
          <w:trHeight w:val="18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CB4921" w:rsidRPr="0095699A" w:rsidRDefault="00C140E6" w:rsidP="00CB49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13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B4921" w:rsidRPr="0095699A" w:rsidRDefault="00CB4921" w:rsidP="00CB49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f16c</w:t>
            </w:r>
          </w:p>
        </w:tc>
        <w:tc>
          <w:tcPr>
            <w:tcW w:w="7658" w:type="dxa"/>
            <w:shd w:val="clear" w:color="auto" w:fill="auto"/>
            <w:noWrap/>
            <w:vAlign w:val="bottom"/>
            <w:hideMark/>
          </w:tcPr>
          <w:p w:rsidR="00CB4921" w:rsidRPr="0095699A" w:rsidRDefault="00CB4921" w:rsidP="00CB49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</w:pPr>
            <w:proofErr w:type="spellStart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>Menage</w:t>
            </w:r>
            <w:proofErr w:type="spellEnd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 xml:space="preserve"> possède-t-il un poste </w:t>
            </w:r>
            <w:proofErr w:type="spellStart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>televiseur</w:t>
            </w:r>
            <w:proofErr w:type="spellEnd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>?</w:t>
            </w:r>
          </w:p>
        </w:tc>
      </w:tr>
      <w:tr w:rsidR="00CB4921" w:rsidRPr="001743B9" w:rsidTr="00C140E6">
        <w:trPr>
          <w:divId w:val="1271400977"/>
          <w:trHeight w:val="18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CB4921" w:rsidRPr="0095699A" w:rsidRDefault="00C140E6" w:rsidP="00CB49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14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B4921" w:rsidRPr="0095699A" w:rsidRDefault="00CB4921" w:rsidP="00CB49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f16d</w:t>
            </w:r>
          </w:p>
        </w:tc>
        <w:tc>
          <w:tcPr>
            <w:tcW w:w="7658" w:type="dxa"/>
            <w:shd w:val="clear" w:color="auto" w:fill="auto"/>
            <w:noWrap/>
            <w:vAlign w:val="bottom"/>
            <w:hideMark/>
          </w:tcPr>
          <w:p w:rsidR="00CB4921" w:rsidRPr="0095699A" w:rsidRDefault="00CB4921" w:rsidP="00CB49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</w:pPr>
            <w:proofErr w:type="spellStart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>Menage</w:t>
            </w:r>
            <w:proofErr w:type="spellEnd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 xml:space="preserve"> possède-t-il un Antenne parabolique?</w:t>
            </w:r>
          </w:p>
        </w:tc>
      </w:tr>
      <w:tr w:rsidR="00CB4921" w:rsidRPr="001743B9" w:rsidTr="00C140E6">
        <w:trPr>
          <w:divId w:val="1271400977"/>
          <w:trHeight w:val="18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CB4921" w:rsidRPr="0095699A" w:rsidRDefault="00C140E6" w:rsidP="00CB49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15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B4921" w:rsidRPr="0095699A" w:rsidRDefault="00CB4921" w:rsidP="00CB49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f16e</w:t>
            </w:r>
          </w:p>
        </w:tc>
        <w:tc>
          <w:tcPr>
            <w:tcW w:w="7658" w:type="dxa"/>
            <w:shd w:val="clear" w:color="auto" w:fill="auto"/>
            <w:noWrap/>
            <w:vAlign w:val="bottom"/>
            <w:hideMark/>
          </w:tcPr>
          <w:p w:rsidR="00CB4921" w:rsidRPr="0095699A" w:rsidRDefault="00CB4921" w:rsidP="00CB49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</w:pPr>
            <w:proofErr w:type="spellStart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>Menage</w:t>
            </w:r>
            <w:proofErr w:type="spellEnd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 xml:space="preserve"> possède-t-il un compte bancaire?</w:t>
            </w:r>
          </w:p>
        </w:tc>
      </w:tr>
      <w:tr w:rsidR="00CB4921" w:rsidRPr="001743B9" w:rsidTr="00C140E6">
        <w:trPr>
          <w:divId w:val="1271400977"/>
          <w:trHeight w:val="18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CB4921" w:rsidRPr="0095699A" w:rsidRDefault="00C140E6" w:rsidP="00CB49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16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B4921" w:rsidRPr="0095699A" w:rsidRDefault="00CB4921" w:rsidP="00CB49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f16f</w:t>
            </w:r>
          </w:p>
        </w:tc>
        <w:tc>
          <w:tcPr>
            <w:tcW w:w="7658" w:type="dxa"/>
            <w:shd w:val="clear" w:color="auto" w:fill="auto"/>
            <w:noWrap/>
            <w:vAlign w:val="bottom"/>
            <w:hideMark/>
          </w:tcPr>
          <w:p w:rsidR="00CB4921" w:rsidRPr="0095699A" w:rsidRDefault="00CB4921" w:rsidP="00CB49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</w:pPr>
            <w:proofErr w:type="spellStart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>Menage</w:t>
            </w:r>
            <w:proofErr w:type="spellEnd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 xml:space="preserve"> possède-t-il un poste radio?</w:t>
            </w:r>
          </w:p>
        </w:tc>
      </w:tr>
      <w:tr w:rsidR="00CB4921" w:rsidRPr="001743B9" w:rsidTr="00C140E6">
        <w:trPr>
          <w:divId w:val="1271400977"/>
          <w:trHeight w:val="18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CB4921" w:rsidRPr="0095699A" w:rsidRDefault="00C140E6" w:rsidP="00CB49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17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B4921" w:rsidRPr="0095699A" w:rsidRDefault="00CB4921" w:rsidP="00CB49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f16g</w:t>
            </w:r>
          </w:p>
        </w:tc>
        <w:tc>
          <w:tcPr>
            <w:tcW w:w="7658" w:type="dxa"/>
            <w:shd w:val="clear" w:color="auto" w:fill="auto"/>
            <w:noWrap/>
            <w:vAlign w:val="bottom"/>
            <w:hideMark/>
          </w:tcPr>
          <w:p w:rsidR="00CB4921" w:rsidRPr="0095699A" w:rsidRDefault="00CB4921" w:rsidP="00CB49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</w:pPr>
            <w:proofErr w:type="spellStart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>Menage</w:t>
            </w:r>
            <w:proofErr w:type="spellEnd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 xml:space="preserve"> possède-t-il </w:t>
            </w:r>
            <w:proofErr w:type="gramStart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>un</w:t>
            </w:r>
            <w:proofErr w:type="gramEnd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 xml:space="preserve"> cuisinière modern ?</w:t>
            </w:r>
          </w:p>
        </w:tc>
      </w:tr>
      <w:tr w:rsidR="00CB4921" w:rsidRPr="001743B9" w:rsidTr="00C140E6">
        <w:trPr>
          <w:divId w:val="1271400977"/>
          <w:trHeight w:val="18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CB4921" w:rsidRPr="0095699A" w:rsidRDefault="00C140E6" w:rsidP="00CB49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18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B4921" w:rsidRPr="0095699A" w:rsidRDefault="00CB4921" w:rsidP="00CB49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f16h</w:t>
            </w:r>
          </w:p>
        </w:tc>
        <w:tc>
          <w:tcPr>
            <w:tcW w:w="7658" w:type="dxa"/>
            <w:shd w:val="clear" w:color="auto" w:fill="auto"/>
            <w:noWrap/>
            <w:vAlign w:val="bottom"/>
            <w:hideMark/>
          </w:tcPr>
          <w:p w:rsidR="00CB4921" w:rsidRPr="0095699A" w:rsidRDefault="00CB4921" w:rsidP="00CB49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</w:pPr>
            <w:proofErr w:type="spellStart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>Menage</w:t>
            </w:r>
            <w:proofErr w:type="spellEnd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 xml:space="preserve"> possède-t-il une </w:t>
            </w:r>
            <w:proofErr w:type="spellStart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>une</w:t>
            </w:r>
            <w:proofErr w:type="spellEnd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 xml:space="preserve"> voiture?</w:t>
            </w:r>
          </w:p>
        </w:tc>
      </w:tr>
      <w:tr w:rsidR="00CB4921" w:rsidRPr="001743B9" w:rsidTr="00C140E6">
        <w:trPr>
          <w:divId w:val="1271400977"/>
          <w:trHeight w:val="18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CB4921" w:rsidRPr="0095699A" w:rsidRDefault="00C140E6" w:rsidP="00CB49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19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B4921" w:rsidRPr="0095699A" w:rsidRDefault="00CB4921" w:rsidP="00CB49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f16i</w:t>
            </w:r>
          </w:p>
        </w:tc>
        <w:tc>
          <w:tcPr>
            <w:tcW w:w="7658" w:type="dxa"/>
            <w:shd w:val="clear" w:color="auto" w:fill="auto"/>
            <w:noWrap/>
            <w:vAlign w:val="bottom"/>
            <w:hideMark/>
          </w:tcPr>
          <w:p w:rsidR="00CB4921" w:rsidRPr="0095699A" w:rsidRDefault="00CB4921" w:rsidP="00CB49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</w:pPr>
            <w:proofErr w:type="spellStart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>Menage</w:t>
            </w:r>
            <w:proofErr w:type="spellEnd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 xml:space="preserve"> possède-t-il une </w:t>
            </w:r>
            <w:proofErr w:type="spellStart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>une</w:t>
            </w:r>
            <w:proofErr w:type="spellEnd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 xml:space="preserve"> téléphone?</w:t>
            </w:r>
          </w:p>
        </w:tc>
      </w:tr>
      <w:tr w:rsidR="00CB4921" w:rsidRPr="001743B9" w:rsidTr="00C140E6">
        <w:trPr>
          <w:divId w:val="1271400977"/>
          <w:trHeight w:val="18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CB4921" w:rsidRPr="0095699A" w:rsidRDefault="00C140E6" w:rsidP="00CB49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20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B4921" w:rsidRPr="0095699A" w:rsidRDefault="00CB4921" w:rsidP="00CB49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f16j</w:t>
            </w:r>
          </w:p>
        </w:tc>
        <w:tc>
          <w:tcPr>
            <w:tcW w:w="7658" w:type="dxa"/>
            <w:shd w:val="clear" w:color="auto" w:fill="auto"/>
            <w:noWrap/>
            <w:vAlign w:val="bottom"/>
            <w:hideMark/>
          </w:tcPr>
          <w:p w:rsidR="00CB4921" w:rsidRPr="0095699A" w:rsidRDefault="00CB4921" w:rsidP="00CB49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</w:pPr>
            <w:proofErr w:type="spellStart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>Menage</w:t>
            </w:r>
            <w:proofErr w:type="spellEnd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 xml:space="preserve"> possède-t-il une Climatiseur?</w:t>
            </w:r>
          </w:p>
        </w:tc>
      </w:tr>
      <w:tr w:rsidR="00CB4921" w:rsidRPr="001743B9" w:rsidTr="00C140E6">
        <w:trPr>
          <w:divId w:val="1271400977"/>
          <w:trHeight w:val="18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CB4921" w:rsidRPr="0095699A" w:rsidRDefault="00C140E6" w:rsidP="00CB49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21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B4921" w:rsidRPr="0095699A" w:rsidRDefault="00CB4921" w:rsidP="00CB49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f16k</w:t>
            </w:r>
          </w:p>
        </w:tc>
        <w:tc>
          <w:tcPr>
            <w:tcW w:w="7658" w:type="dxa"/>
            <w:shd w:val="clear" w:color="auto" w:fill="auto"/>
            <w:noWrap/>
            <w:vAlign w:val="bottom"/>
            <w:hideMark/>
          </w:tcPr>
          <w:p w:rsidR="00CB4921" w:rsidRPr="0095699A" w:rsidRDefault="00CB4921" w:rsidP="00CB49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</w:pPr>
            <w:proofErr w:type="spellStart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>Menage</w:t>
            </w:r>
            <w:proofErr w:type="spellEnd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 xml:space="preserve"> possède-t-il une Chauffe-eau?</w:t>
            </w:r>
          </w:p>
        </w:tc>
      </w:tr>
      <w:tr w:rsidR="00B11520" w:rsidRPr="00B11520" w:rsidTr="00C140E6">
        <w:trPr>
          <w:divId w:val="1271400977"/>
          <w:trHeight w:val="180"/>
        </w:trPr>
        <w:tc>
          <w:tcPr>
            <w:tcW w:w="9498" w:type="dxa"/>
            <w:gridSpan w:val="3"/>
            <w:shd w:val="clear" w:color="auto" w:fill="auto"/>
            <w:noWrap/>
            <w:vAlign w:val="bottom"/>
          </w:tcPr>
          <w:p w:rsidR="00B11520" w:rsidRPr="00B11520" w:rsidRDefault="00B11520" w:rsidP="00B115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i/>
                <w:color w:val="000000"/>
                <w:sz w:val="18"/>
                <w:szCs w:val="18"/>
                <w:lang w:eastAsia="en-CA"/>
              </w:rPr>
              <w:t>DIM2: Housing facilities</w:t>
            </w:r>
          </w:p>
        </w:tc>
      </w:tr>
      <w:tr w:rsidR="00C140E6" w:rsidRPr="001743B9" w:rsidTr="00C140E6">
        <w:trPr>
          <w:divId w:val="1271400977"/>
          <w:trHeight w:val="180"/>
        </w:trPr>
        <w:tc>
          <w:tcPr>
            <w:tcW w:w="640" w:type="dxa"/>
            <w:shd w:val="clear" w:color="auto" w:fill="auto"/>
            <w:noWrap/>
            <w:vAlign w:val="bottom"/>
          </w:tcPr>
          <w:p w:rsidR="00C140E6" w:rsidRPr="0095699A" w:rsidRDefault="00C140E6" w:rsidP="00C14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C140E6" w:rsidRPr="0095699A" w:rsidRDefault="00C140E6" w:rsidP="00C14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region</w:t>
            </w:r>
          </w:p>
        </w:tc>
        <w:tc>
          <w:tcPr>
            <w:tcW w:w="7658" w:type="dxa"/>
            <w:shd w:val="clear" w:color="auto" w:fill="auto"/>
            <w:noWrap/>
            <w:vAlign w:val="bottom"/>
          </w:tcPr>
          <w:p w:rsidR="00C140E6" w:rsidRPr="0095699A" w:rsidRDefault="00C140E6" w:rsidP="00C14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Region (</w:t>
            </w:r>
            <w:proofErr w:type="spellStart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Wilaya</w:t>
            </w:r>
            <w:proofErr w:type="spellEnd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)</w:t>
            </w:r>
          </w:p>
        </w:tc>
      </w:tr>
      <w:tr w:rsidR="00C140E6" w:rsidRPr="00C140E6" w:rsidTr="00C140E6">
        <w:trPr>
          <w:divId w:val="1271400977"/>
          <w:trHeight w:val="180"/>
        </w:trPr>
        <w:tc>
          <w:tcPr>
            <w:tcW w:w="640" w:type="dxa"/>
            <w:shd w:val="clear" w:color="auto" w:fill="auto"/>
            <w:noWrap/>
            <w:vAlign w:val="bottom"/>
          </w:tcPr>
          <w:p w:rsidR="00C140E6" w:rsidRPr="0095699A" w:rsidRDefault="00C140E6" w:rsidP="00C14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C140E6" w:rsidRPr="0095699A" w:rsidRDefault="00C140E6" w:rsidP="00C14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capital</w:t>
            </w:r>
          </w:p>
        </w:tc>
        <w:tc>
          <w:tcPr>
            <w:tcW w:w="7658" w:type="dxa"/>
            <w:shd w:val="clear" w:color="auto" w:fill="auto"/>
            <w:noWrap/>
            <w:vAlign w:val="bottom"/>
          </w:tcPr>
          <w:p w:rsidR="00C140E6" w:rsidRPr="0095699A" w:rsidRDefault="00C140E6" w:rsidP="00C14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Main capital/city, other urban and rural classification</w:t>
            </w:r>
          </w:p>
        </w:tc>
      </w:tr>
      <w:tr w:rsidR="00C140E6" w:rsidRPr="001743B9" w:rsidTr="00C140E6">
        <w:trPr>
          <w:divId w:val="1271400977"/>
          <w:trHeight w:val="180"/>
        </w:trPr>
        <w:tc>
          <w:tcPr>
            <w:tcW w:w="640" w:type="dxa"/>
            <w:shd w:val="clear" w:color="auto" w:fill="auto"/>
            <w:noWrap/>
            <w:vAlign w:val="bottom"/>
          </w:tcPr>
          <w:p w:rsidR="00C140E6" w:rsidRPr="0095699A" w:rsidRDefault="00C140E6" w:rsidP="00C14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C140E6" w:rsidRPr="0095699A" w:rsidRDefault="00C140E6" w:rsidP="00C14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f1</w:t>
            </w:r>
          </w:p>
        </w:tc>
        <w:tc>
          <w:tcPr>
            <w:tcW w:w="7658" w:type="dxa"/>
            <w:shd w:val="clear" w:color="auto" w:fill="auto"/>
            <w:noWrap/>
            <w:vAlign w:val="bottom"/>
          </w:tcPr>
          <w:p w:rsidR="00C140E6" w:rsidRPr="0095699A" w:rsidRDefault="00C140E6" w:rsidP="00C14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proofErr w:type="gramStart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statut</w:t>
            </w:r>
            <w:proofErr w:type="spellEnd"/>
            <w:proofErr w:type="gramEnd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d'occupation</w:t>
            </w:r>
            <w:proofErr w:type="spellEnd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 xml:space="preserve"> du </w:t>
            </w:r>
            <w:proofErr w:type="spellStart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logement</w:t>
            </w:r>
            <w:proofErr w:type="spellEnd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 xml:space="preserve"> ?</w:t>
            </w:r>
          </w:p>
        </w:tc>
      </w:tr>
      <w:tr w:rsidR="00C140E6" w:rsidRPr="001743B9" w:rsidTr="00C140E6">
        <w:trPr>
          <w:divId w:val="1271400977"/>
          <w:trHeight w:val="180"/>
        </w:trPr>
        <w:tc>
          <w:tcPr>
            <w:tcW w:w="640" w:type="dxa"/>
            <w:shd w:val="clear" w:color="auto" w:fill="auto"/>
            <w:noWrap/>
            <w:vAlign w:val="bottom"/>
          </w:tcPr>
          <w:p w:rsidR="00C140E6" w:rsidRPr="0095699A" w:rsidRDefault="00C140E6" w:rsidP="00C14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4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C140E6" w:rsidRPr="0095699A" w:rsidRDefault="00C140E6" w:rsidP="00C14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f2</w:t>
            </w:r>
          </w:p>
        </w:tc>
        <w:tc>
          <w:tcPr>
            <w:tcW w:w="7658" w:type="dxa"/>
            <w:shd w:val="clear" w:color="auto" w:fill="auto"/>
            <w:noWrap/>
            <w:vAlign w:val="bottom"/>
          </w:tcPr>
          <w:p w:rsidR="00C140E6" w:rsidRPr="0095699A" w:rsidRDefault="00C140E6" w:rsidP="00C14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>Combien de pièces y’</w:t>
            </w:r>
            <w:proofErr w:type="spellStart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>a-t-il</w:t>
            </w:r>
            <w:proofErr w:type="spellEnd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 xml:space="preserve"> dans votre logement ?</w:t>
            </w:r>
          </w:p>
        </w:tc>
      </w:tr>
      <w:tr w:rsidR="00C140E6" w:rsidRPr="001743B9" w:rsidTr="00C140E6">
        <w:trPr>
          <w:divId w:val="1271400977"/>
          <w:trHeight w:val="180"/>
        </w:trPr>
        <w:tc>
          <w:tcPr>
            <w:tcW w:w="640" w:type="dxa"/>
            <w:shd w:val="clear" w:color="auto" w:fill="auto"/>
            <w:noWrap/>
            <w:vAlign w:val="bottom"/>
          </w:tcPr>
          <w:p w:rsidR="00C140E6" w:rsidRPr="0095699A" w:rsidRDefault="00C140E6" w:rsidP="00C14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5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C140E6" w:rsidRPr="0095699A" w:rsidRDefault="00C140E6" w:rsidP="00C14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g0</w:t>
            </w:r>
          </w:p>
        </w:tc>
        <w:tc>
          <w:tcPr>
            <w:tcW w:w="7658" w:type="dxa"/>
            <w:shd w:val="clear" w:color="auto" w:fill="auto"/>
            <w:noWrap/>
            <w:vAlign w:val="bottom"/>
          </w:tcPr>
          <w:p w:rsidR="00C140E6" w:rsidRPr="0095699A" w:rsidRDefault="00C140E6" w:rsidP="00C14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 xml:space="preserve">type principal de logement occupe par le </w:t>
            </w:r>
            <w:proofErr w:type="spellStart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>menage</w:t>
            </w:r>
            <w:proofErr w:type="spellEnd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 xml:space="preserve"> ?</w:t>
            </w:r>
          </w:p>
        </w:tc>
      </w:tr>
      <w:tr w:rsidR="00C140E6" w:rsidRPr="001743B9" w:rsidTr="00C140E6">
        <w:trPr>
          <w:divId w:val="1271400977"/>
          <w:trHeight w:val="18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C140E6" w:rsidRPr="0095699A" w:rsidRDefault="00C140E6" w:rsidP="00C14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140E6" w:rsidRPr="0095699A" w:rsidRDefault="00C140E6" w:rsidP="00C14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g1</w:t>
            </w:r>
          </w:p>
        </w:tc>
        <w:tc>
          <w:tcPr>
            <w:tcW w:w="7658" w:type="dxa"/>
            <w:shd w:val="clear" w:color="auto" w:fill="auto"/>
            <w:noWrap/>
            <w:vAlign w:val="bottom"/>
            <w:hideMark/>
          </w:tcPr>
          <w:p w:rsidR="00C140E6" w:rsidRPr="0095699A" w:rsidRDefault="00C140E6" w:rsidP="00C14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</w:pPr>
            <w:proofErr w:type="spellStart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>materiau</w:t>
            </w:r>
            <w:proofErr w:type="spellEnd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 xml:space="preserve"> principal du toit du logement ?</w:t>
            </w:r>
          </w:p>
        </w:tc>
      </w:tr>
      <w:tr w:rsidR="00C140E6" w:rsidRPr="001743B9" w:rsidTr="00C140E6">
        <w:trPr>
          <w:divId w:val="1271400977"/>
          <w:trHeight w:val="18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C140E6" w:rsidRPr="0095699A" w:rsidRDefault="00C140E6" w:rsidP="00C14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140E6" w:rsidRPr="0095699A" w:rsidRDefault="00C140E6" w:rsidP="00C14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g2</w:t>
            </w:r>
          </w:p>
        </w:tc>
        <w:tc>
          <w:tcPr>
            <w:tcW w:w="7658" w:type="dxa"/>
            <w:shd w:val="clear" w:color="auto" w:fill="auto"/>
            <w:noWrap/>
            <w:vAlign w:val="bottom"/>
            <w:hideMark/>
          </w:tcPr>
          <w:p w:rsidR="00C140E6" w:rsidRPr="0095699A" w:rsidRDefault="00C140E6" w:rsidP="00C14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</w:pPr>
            <w:proofErr w:type="spellStart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>materiau</w:t>
            </w:r>
            <w:proofErr w:type="spellEnd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 xml:space="preserve"> principal des murs du logement ?</w:t>
            </w:r>
          </w:p>
        </w:tc>
      </w:tr>
      <w:tr w:rsidR="00C140E6" w:rsidRPr="001743B9" w:rsidTr="00C140E6">
        <w:trPr>
          <w:divId w:val="1271400977"/>
          <w:trHeight w:val="18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C140E6" w:rsidRPr="0095699A" w:rsidRDefault="00C140E6" w:rsidP="00C14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140E6" w:rsidRPr="0095699A" w:rsidRDefault="00C140E6" w:rsidP="00C14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g3</w:t>
            </w:r>
          </w:p>
        </w:tc>
        <w:tc>
          <w:tcPr>
            <w:tcW w:w="7658" w:type="dxa"/>
            <w:shd w:val="clear" w:color="auto" w:fill="auto"/>
            <w:noWrap/>
            <w:vAlign w:val="bottom"/>
            <w:hideMark/>
          </w:tcPr>
          <w:p w:rsidR="00C140E6" w:rsidRPr="0095699A" w:rsidRDefault="00C140E6" w:rsidP="00C14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>nature du sol du logement ?</w:t>
            </w:r>
          </w:p>
        </w:tc>
      </w:tr>
      <w:tr w:rsidR="00C140E6" w:rsidRPr="001743B9" w:rsidTr="00C140E6">
        <w:trPr>
          <w:divId w:val="1271400977"/>
          <w:trHeight w:val="18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C140E6" w:rsidRPr="0095699A" w:rsidRDefault="00C140E6" w:rsidP="00C14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140E6" w:rsidRPr="0095699A" w:rsidRDefault="00C140E6" w:rsidP="00C14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g4</w:t>
            </w:r>
          </w:p>
        </w:tc>
        <w:tc>
          <w:tcPr>
            <w:tcW w:w="7658" w:type="dxa"/>
            <w:shd w:val="clear" w:color="auto" w:fill="auto"/>
            <w:noWrap/>
            <w:vAlign w:val="bottom"/>
            <w:hideMark/>
          </w:tcPr>
          <w:p w:rsidR="00C140E6" w:rsidRPr="0095699A" w:rsidRDefault="00C140E6" w:rsidP="00C14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>principale source d'approvisionnement en eau de boisson ?</w:t>
            </w:r>
          </w:p>
        </w:tc>
      </w:tr>
      <w:tr w:rsidR="00C140E6" w:rsidRPr="001743B9" w:rsidTr="00C140E6">
        <w:trPr>
          <w:divId w:val="1271400977"/>
          <w:trHeight w:val="18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C140E6" w:rsidRPr="0095699A" w:rsidRDefault="00C140E6" w:rsidP="00C14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10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140E6" w:rsidRPr="0095699A" w:rsidRDefault="00C140E6" w:rsidP="00C14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g5</w:t>
            </w:r>
          </w:p>
        </w:tc>
        <w:tc>
          <w:tcPr>
            <w:tcW w:w="7658" w:type="dxa"/>
            <w:shd w:val="clear" w:color="auto" w:fill="auto"/>
            <w:noWrap/>
            <w:vAlign w:val="bottom"/>
            <w:hideMark/>
          </w:tcPr>
          <w:p w:rsidR="00C140E6" w:rsidRPr="0095699A" w:rsidRDefault="00C140E6" w:rsidP="00C14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 xml:space="preserve">Quel type principal de toilettes utilise par le </w:t>
            </w:r>
            <w:proofErr w:type="spellStart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>menage</w:t>
            </w:r>
            <w:proofErr w:type="spellEnd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> ?</w:t>
            </w:r>
          </w:p>
        </w:tc>
      </w:tr>
      <w:tr w:rsidR="00C140E6" w:rsidRPr="001743B9" w:rsidTr="00C140E6">
        <w:trPr>
          <w:divId w:val="1271400977"/>
          <w:trHeight w:val="18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C140E6" w:rsidRPr="0095699A" w:rsidRDefault="00C140E6" w:rsidP="00C14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140E6" w:rsidRPr="0095699A" w:rsidRDefault="00C140E6" w:rsidP="00C14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g6</w:t>
            </w:r>
          </w:p>
        </w:tc>
        <w:tc>
          <w:tcPr>
            <w:tcW w:w="7658" w:type="dxa"/>
            <w:shd w:val="clear" w:color="auto" w:fill="auto"/>
            <w:noWrap/>
            <w:vAlign w:val="bottom"/>
            <w:hideMark/>
          </w:tcPr>
          <w:p w:rsidR="00C140E6" w:rsidRPr="0095699A" w:rsidRDefault="00C140E6" w:rsidP="00C14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>principale source d'</w:t>
            </w:r>
            <w:proofErr w:type="spellStart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>energie</w:t>
            </w:r>
            <w:proofErr w:type="spellEnd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 xml:space="preserve"> (combustible) </w:t>
            </w:r>
            <w:proofErr w:type="spellStart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>utilisee</w:t>
            </w:r>
            <w:proofErr w:type="spellEnd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 xml:space="preserve"> pour faire la cuisine ?</w:t>
            </w:r>
          </w:p>
        </w:tc>
      </w:tr>
      <w:tr w:rsidR="00C140E6" w:rsidRPr="001743B9" w:rsidTr="00C140E6">
        <w:trPr>
          <w:divId w:val="1271400977"/>
          <w:trHeight w:val="18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C140E6" w:rsidRPr="0095699A" w:rsidRDefault="00C140E6" w:rsidP="00C14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12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140E6" w:rsidRPr="0095699A" w:rsidRDefault="00C140E6" w:rsidP="00C14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CA"/>
              </w:rPr>
              <w:t>g7</w:t>
            </w:r>
          </w:p>
        </w:tc>
        <w:tc>
          <w:tcPr>
            <w:tcW w:w="7658" w:type="dxa"/>
            <w:shd w:val="clear" w:color="auto" w:fill="auto"/>
            <w:noWrap/>
            <w:vAlign w:val="bottom"/>
            <w:hideMark/>
          </w:tcPr>
          <w:p w:rsidR="00C140E6" w:rsidRPr="0095699A" w:rsidRDefault="00C140E6" w:rsidP="00C14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</w:pPr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>principale source d'</w:t>
            </w:r>
            <w:proofErr w:type="spellStart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>energie</w:t>
            </w:r>
            <w:proofErr w:type="spellEnd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 xml:space="preserve"> </w:t>
            </w:r>
            <w:proofErr w:type="spellStart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>utilisee</w:t>
            </w:r>
            <w:proofErr w:type="spellEnd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 xml:space="preserve"> pour l'</w:t>
            </w:r>
            <w:proofErr w:type="spellStart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>eclairage</w:t>
            </w:r>
            <w:proofErr w:type="spellEnd"/>
            <w:r w:rsidRPr="009569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CA" w:eastAsia="en-CA"/>
              </w:rPr>
              <w:t xml:space="preserve"> ?</w:t>
            </w:r>
          </w:p>
        </w:tc>
      </w:tr>
      <w:tr w:rsidR="00CB4921" w:rsidRPr="0095699A" w:rsidTr="00C140E6">
        <w:trPr>
          <w:divId w:val="1271400977"/>
          <w:trHeight w:val="180"/>
        </w:trPr>
        <w:tc>
          <w:tcPr>
            <w:tcW w:w="640" w:type="dxa"/>
            <w:shd w:val="clear" w:color="auto" w:fill="auto"/>
            <w:noWrap/>
            <w:vAlign w:val="bottom"/>
          </w:tcPr>
          <w:p w:rsidR="00CB4921" w:rsidRPr="00B11520" w:rsidRDefault="00CB4921" w:rsidP="00CB49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CB4921" w:rsidRPr="00B11520" w:rsidRDefault="00CB4921" w:rsidP="00CB4921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000000"/>
                <w:sz w:val="18"/>
                <w:szCs w:val="18"/>
                <w:lang w:eastAsia="en-CA"/>
              </w:rPr>
            </w:pPr>
            <w:r w:rsidRPr="00B11520">
              <w:rPr>
                <w:rFonts w:ascii="Calibri" w:eastAsia="Times New Roman" w:hAnsi="Calibri" w:cs="Times New Roman"/>
                <w:b/>
                <w:i/>
                <w:color w:val="000000"/>
                <w:sz w:val="18"/>
                <w:szCs w:val="18"/>
                <w:lang w:eastAsia="en-CA"/>
              </w:rPr>
              <w:t>quintile</w:t>
            </w:r>
          </w:p>
        </w:tc>
        <w:tc>
          <w:tcPr>
            <w:tcW w:w="7658" w:type="dxa"/>
            <w:shd w:val="clear" w:color="auto" w:fill="auto"/>
            <w:noWrap/>
            <w:vAlign w:val="bottom"/>
          </w:tcPr>
          <w:p w:rsidR="00CB4921" w:rsidRPr="00B11520" w:rsidRDefault="00CB4921" w:rsidP="00CB4921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000000"/>
                <w:sz w:val="18"/>
                <w:szCs w:val="18"/>
                <w:lang w:val="fr-CA" w:eastAsia="en-CA"/>
              </w:rPr>
            </w:pPr>
            <w:proofErr w:type="spellStart"/>
            <w:r w:rsidRPr="00B11520">
              <w:rPr>
                <w:rFonts w:ascii="Calibri" w:eastAsia="Times New Roman" w:hAnsi="Calibri" w:cs="Times New Roman"/>
                <w:b/>
                <w:i/>
                <w:color w:val="000000"/>
                <w:sz w:val="18"/>
                <w:szCs w:val="18"/>
                <w:lang w:val="fr-CA" w:eastAsia="en-CA"/>
              </w:rPr>
              <w:t>Monetary</w:t>
            </w:r>
            <w:proofErr w:type="spellEnd"/>
            <w:r w:rsidRPr="00B11520">
              <w:rPr>
                <w:rFonts w:ascii="Calibri" w:eastAsia="Times New Roman" w:hAnsi="Calibri" w:cs="Times New Roman"/>
                <w:b/>
                <w:i/>
                <w:color w:val="000000"/>
                <w:sz w:val="18"/>
                <w:szCs w:val="18"/>
                <w:lang w:val="fr-CA" w:eastAsia="en-CA"/>
              </w:rPr>
              <w:t xml:space="preserve"> </w:t>
            </w:r>
            <w:proofErr w:type="spellStart"/>
            <w:r w:rsidRPr="00B11520">
              <w:rPr>
                <w:rFonts w:ascii="Calibri" w:eastAsia="Times New Roman" w:hAnsi="Calibri" w:cs="Times New Roman"/>
                <w:b/>
                <w:i/>
                <w:color w:val="000000"/>
                <w:sz w:val="18"/>
                <w:szCs w:val="18"/>
                <w:lang w:val="fr-CA" w:eastAsia="en-CA"/>
              </w:rPr>
              <w:t>indicator</w:t>
            </w:r>
            <w:proofErr w:type="spellEnd"/>
            <w:r w:rsidRPr="00B11520">
              <w:rPr>
                <w:rFonts w:ascii="Calibri" w:eastAsia="Times New Roman" w:hAnsi="Calibri" w:cs="Times New Roman"/>
                <w:b/>
                <w:i/>
                <w:color w:val="000000"/>
                <w:sz w:val="18"/>
                <w:szCs w:val="18"/>
                <w:lang w:val="fr-CA" w:eastAsia="en-CA"/>
              </w:rPr>
              <w:t xml:space="preserve"> (</w:t>
            </w:r>
            <w:proofErr w:type="spellStart"/>
            <w:r w:rsidRPr="00B11520">
              <w:rPr>
                <w:rFonts w:ascii="Calibri" w:eastAsia="Times New Roman" w:hAnsi="Calibri" w:cs="Times New Roman"/>
                <w:b/>
                <w:i/>
                <w:color w:val="000000"/>
                <w:sz w:val="18"/>
                <w:szCs w:val="18"/>
                <w:lang w:val="fr-CA" w:eastAsia="en-CA"/>
              </w:rPr>
              <w:t>suplimentary</w:t>
            </w:r>
            <w:proofErr w:type="spellEnd"/>
            <w:r w:rsidRPr="00B11520">
              <w:rPr>
                <w:rFonts w:ascii="Calibri" w:eastAsia="Times New Roman" w:hAnsi="Calibri" w:cs="Times New Roman"/>
                <w:b/>
                <w:i/>
                <w:color w:val="000000"/>
                <w:sz w:val="18"/>
                <w:szCs w:val="18"/>
                <w:lang w:val="fr-CA" w:eastAsia="en-CA"/>
              </w:rPr>
              <w:t xml:space="preserve"> variable)</w:t>
            </w:r>
          </w:p>
        </w:tc>
      </w:tr>
    </w:tbl>
    <w:p w:rsidR="00585E85" w:rsidRDefault="00E66BA3">
      <w:r>
        <w:fldChar w:fldCharType="end"/>
      </w:r>
    </w:p>
    <w:p w:rsidR="00791881" w:rsidRDefault="00791881"/>
    <w:sectPr w:rsidR="007918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159CB"/>
    <w:multiLevelType w:val="hybridMultilevel"/>
    <w:tmpl w:val="01BE120C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70006FCD"/>
    <w:multiLevelType w:val="hybridMultilevel"/>
    <w:tmpl w:val="ADA4E7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BA3"/>
    <w:rsid w:val="00095DAA"/>
    <w:rsid w:val="001743B9"/>
    <w:rsid w:val="003E3909"/>
    <w:rsid w:val="00585E85"/>
    <w:rsid w:val="00791881"/>
    <w:rsid w:val="0095699A"/>
    <w:rsid w:val="00B11520"/>
    <w:rsid w:val="00C140E6"/>
    <w:rsid w:val="00CB4921"/>
    <w:rsid w:val="00DF7122"/>
    <w:rsid w:val="00E66BA3"/>
    <w:rsid w:val="00F6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2946835-CE3C-4645-B93E-6F8E48D6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11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1152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140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40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4286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Abdelkrim Araar</dc:creator>
  <cp:keywords/>
  <dc:description/>
  <cp:lastModifiedBy>Abdelkrim Araar</cp:lastModifiedBy>
  <cp:revision>7</cp:revision>
  <cp:lastPrinted>2016-04-10T17:49:00Z</cp:lastPrinted>
  <dcterms:created xsi:type="dcterms:W3CDTF">2016-04-10T17:49:00Z</dcterms:created>
  <dcterms:modified xsi:type="dcterms:W3CDTF">2016-04-10T17:59:00Z</dcterms:modified>
</cp:coreProperties>
</file>