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E525" w14:textId="77777777" w:rsidR="0038480C" w:rsidRDefault="0038480C">
      <w:pPr>
        <w:spacing w:after="40"/>
        <w:rPr>
          <w:b/>
          <w:bCs/>
          <w:color w:val="185FA5"/>
          <w:sz w:val="22"/>
          <w:szCs w:val="22"/>
          <w:rtl/>
        </w:rPr>
      </w:pPr>
    </w:p>
    <w:p w14:paraId="71333361" w14:textId="5F8F9FBD" w:rsidR="00C67836" w:rsidRDefault="00000000">
      <w:pPr>
        <w:spacing w:after="40"/>
      </w:pPr>
      <w:r>
        <w:rPr>
          <w:b/>
          <w:bCs/>
          <w:color w:val="185FA5"/>
          <w:sz w:val="22"/>
          <w:szCs w:val="22"/>
        </w:rPr>
        <w:t xml:space="preserve">DataBridge </w:t>
      </w:r>
      <w:r w:rsidR="0038480C">
        <w:rPr>
          <w:b/>
          <w:bCs/>
          <w:color w:val="185FA5"/>
          <w:sz w:val="22"/>
          <w:szCs w:val="22"/>
        </w:rPr>
        <w:t>Pro</w:t>
      </w:r>
      <w:r>
        <w:rPr>
          <w:b/>
          <w:bCs/>
          <w:color w:val="185FA5"/>
          <w:sz w:val="22"/>
          <w:szCs w:val="22"/>
        </w:rPr>
        <w:t>— M&amp;E Hub for Health Programs</w:t>
      </w:r>
    </w:p>
    <w:p w14:paraId="54470DE4" w14:textId="483036A9" w:rsidR="00C67836" w:rsidRDefault="00E10971">
      <w:pPr>
        <w:spacing w:after="40"/>
      </w:pPr>
      <w:r>
        <w:rPr>
          <w:b/>
          <w:bCs/>
          <w:color w:val="222222"/>
          <w:sz w:val="30"/>
          <w:szCs w:val="30"/>
        </w:rPr>
        <w:t>Befrienders Harm-Reduction Program — Giza</w:t>
      </w:r>
    </w:p>
    <w:p w14:paraId="44ECD532" w14:textId="77777777" w:rsidR="00C67836" w:rsidRDefault="00000000">
      <w:pPr>
        <w:spacing w:after="40"/>
      </w:pPr>
      <w:r>
        <w:rPr>
          <w:b/>
          <w:bCs/>
          <w:color w:val="D85A30"/>
          <w:sz w:val="26"/>
          <w:szCs w:val="26"/>
        </w:rPr>
        <w:t>Q2 2026 Quarterly Report (April – June 2026)</w:t>
      </w:r>
    </w:p>
    <w:p w14:paraId="4CBBB22F" w14:textId="77777777" w:rsidR="00C67836" w:rsidRDefault="00000000">
      <w:pPr>
        <w:spacing w:after="300"/>
      </w:pPr>
      <w:r>
        <w:rPr>
          <w:color w:val="555555"/>
        </w:rPr>
        <w:t>Prepared for: UNDP / The Global Fund   |   Report date: July 2026</w:t>
      </w:r>
    </w:p>
    <w:p w14:paraId="57AF98CD" w14:textId="77777777" w:rsidR="00C67836" w:rsidRDefault="00000000">
      <w:pPr>
        <w:pStyle w:val="Heading1"/>
        <w:spacing w:before="320" w:after="160"/>
      </w:pPr>
      <w:r>
        <w:rPr>
          <w:color w:val="185FA5"/>
        </w:rPr>
        <w:t>1. Executive Summary</w:t>
      </w:r>
    </w:p>
    <w:p w14:paraId="0685E79D" w14:textId="322C908A" w:rsidR="00C67836" w:rsidRPr="0038480C" w:rsidRDefault="00000000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 xml:space="preserve">Between April and June 2026, the </w:t>
      </w:r>
      <w:r w:rsidR="00E10971" w:rsidRPr="0038480C">
        <w:rPr>
          <w:sz w:val="22"/>
          <w:szCs w:val="22"/>
        </w:rPr>
        <w:t xml:space="preserve">Befrienders </w:t>
      </w:r>
      <w:r w:rsidRPr="0038480C">
        <w:rPr>
          <w:sz w:val="22"/>
          <w:szCs w:val="22"/>
        </w:rPr>
        <w:t>program reached 487 beneficiaries against a Q2 target of 466 (104.5% achievement) and conducted 433 HIV rapid tests during basic visits against a target of 396 (109.3% achievement). Both core indicators exceeded target.</w:t>
      </w:r>
    </w:p>
    <w:p w14:paraId="5A131E2B" w14:textId="77777777" w:rsidR="00C67836" w:rsidRPr="0038480C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38480C">
        <w:rPr>
          <w:sz w:val="22"/>
          <w:szCs w:val="22"/>
        </w:rPr>
        <w:t>Beneficiaries reached: 487 (target 466) - 104.5%</w:t>
      </w:r>
    </w:p>
    <w:p w14:paraId="2A7930F0" w14:textId="77777777" w:rsidR="00C67836" w:rsidRPr="0038480C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38480C">
        <w:rPr>
          <w:sz w:val="22"/>
          <w:szCs w:val="22"/>
        </w:rPr>
        <w:t>HIV rapid tests conducted during basic visits: 433 (target 396) - 109.3%</w:t>
      </w:r>
    </w:p>
    <w:p w14:paraId="06572E73" w14:textId="77777777" w:rsidR="00C67836" w:rsidRPr="0038480C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38480C">
        <w:rPr>
          <w:sz w:val="22"/>
          <w:szCs w:val="22"/>
        </w:rPr>
        <w:t>Rapid-test positive: 7 total (6 during basic visits and 1 during follow-up)</w:t>
      </w:r>
    </w:p>
    <w:p w14:paraId="599D9B49" w14:textId="77777777" w:rsidR="00C67836" w:rsidRPr="0038480C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38480C">
        <w:rPr>
          <w:sz w:val="22"/>
          <w:szCs w:val="22"/>
        </w:rPr>
        <w:t>Confirmed, referred and linked to treatment: 5; two rapid-positive results remained unconfirmed because sample collection was declined</w:t>
      </w:r>
    </w:p>
    <w:p w14:paraId="0E5B317D" w14:textId="77777777" w:rsidR="00C67836" w:rsidRPr="0038480C" w:rsidRDefault="00000000">
      <w:pPr>
        <w:pStyle w:val="ListParagraph"/>
        <w:numPr>
          <w:ilvl w:val="0"/>
          <w:numId w:val="1"/>
        </w:numPr>
        <w:spacing w:after="80"/>
        <w:rPr>
          <w:sz w:val="22"/>
          <w:szCs w:val="22"/>
        </w:rPr>
      </w:pPr>
      <w:r w:rsidRPr="0038480C">
        <w:rPr>
          <w:sz w:val="22"/>
          <w:szCs w:val="22"/>
        </w:rPr>
        <w:t>No documented HIV rapid test/result during basic visits: 54 beneficiaries (11.1%)</w:t>
      </w:r>
    </w:p>
    <w:p w14:paraId="5B864673" w14:textId="77777777" w:rsidR="00C67836" w:rsidRPr="0038480C" w:rsidRDefault="00000000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Follow-up visits to previously enrolled beneficiaries are not counted against the Q2 reach or HIV-testing targets. They are reported separately below and in Section 6 as a continuity-of-care indicator.</w:t>
      </w:r>
    </w:p>
    <w:p w14:paraId="494992E7" w14:textId="77777777" w:rsidR="00C67836" w:rsidRDefault="00000000">
      <w:pPr>
        <w:pStyle w:val="Heading1"/>
        <w:spacing w:before="320" w:after="160"/>
      </w:pPr>
      <w:r>
        <w:rPr>
          <w:color w:val="185FA5"/>
        </w:rPr>
        <w:t>2. Performance Against Q2 Targets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5"/>
        <w:gridCol w:w="825"/>
        <w:gridCol w:w="760"/>
        <w:gridCol w:w="1240"/>
      </w:tblGrid>
      <w:tr w:rsidR="00C67836" w14:paraId="77F42730" w14:textId="77777777">
        <w:trPr>
          <w:tblHeader/>
        </w:trPr>
        <w:tc>
          <w:tcPr>
            <w:tcW w:w="5000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57BB1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Indicator</w:t>
            </w:r>
          </w:p>
        </w:tc>
        <w:tc>
          <w:tcPr>
            <w:tcW w:w="5000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6EBA0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Actual (Q2)</w:t>
            </w:r>
          </w:p>
        </w:tc>
        <w:tc>
          <w:tcPr>
            <w:tcW w:w="5000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A270D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Q2 Target</w:t>
            </w:r>
          </w:p>
        </w:tc>
        <w:tc>
          <w:tcPr>
            <w:tcW w:w="5000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8F3F7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Achievement</w:t>
            </w:r>
          </w:p>
        </w:tc>
      </w:tr>
      <w:tr w:rsidR="00C67836" w14:paraId="7A09C7DB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0622F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Beneficiaries Reached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387C0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487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BD97E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466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3A3A5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104.5%</w:t>
            </w:r>
          </w:p>
        </w:tc>
      </w:tr>
      <w:tr w:rsidR="00C67836" w14:paraId="20FFAF04" w14:textId="77777777"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5115F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HIV Rapid Tests Conducted (basic visits)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84A3E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433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51978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396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EEE7B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109.3%</w:t>
            </w:r>
          </w:p>
        </w:tc>
      </w:tr>
      <w:tr w:rsidR="00C67836" w14:paraId="346DA56D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9E720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Rapid Test Positive (basic + follow-up)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472B8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7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1CA3E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-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89EB7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N/A</w:t>
            </w:r>
          </w:p>
        </w:tc>
      </w:tr>
      <w:tr w:rsidR="00C67836" w14:paraId="4CB32A6B" w14:textId="77777777"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0235B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Confirmed, Referred &amp; Linked to Treatment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95552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5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AD69F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-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87592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N/A</w:t>
            </w:r>
          </w:p>
        </w:tc>
      </w:tr>
      <w:tr w:rsidR="00C67836" w14:paraId="6E1EBB1A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F368C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Rapid-positive not confirmed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C4D03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2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32FC0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-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BB369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N/A</w:t>
            </w:r>
          </w:p>
        </w:tc>
      </w:tr>
      <w:tr w:rsidR="00C67836" w14:paraId="2AD96AB1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CCD3B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No documented rapid test/result (basic visits)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A22C8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54 (11.1%)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51E09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-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E0EC4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N/A</w:t>
            </w:r>
          </w:p>
        </w:tc>
      </w:tr>
    </w:tbl>
    <w:p w14:paraId="71DEDAF2" w14:textId="77777777" w:rsidR="00C67836" w:rsidRDefault="00C67836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5"/>
      </w:tblGrid>
      <w:tr w:rsidR="00C67836" w14:paraId="7481FDAB" w14:textId="77777777">
        <w:tc>
          <w:tcPr>
            <w:tcW w:w="5000" w:type="pct"/>
            <w:tcBorders>
              <w:top w:val="single" w:sz="24" w:space="0" w:color="D85A30"/>
              <w:left w:val="single" w:sz="24" w:space="0" w:color="D85A30"/>
              <w:bottom w:val="single" w:sz="4" w:space="0" w:color="D85A30"/>
              <w:right w:val="single" w:sz="4" w:space="0" w:color="D85A30"/>
            </w:tcBorders>
            <w:shd w:val="clear" w:color="auto" w:fill="FFF3E9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D825D2B" w14:textId="77777777" w:rsidR="00C67836" w:rsidRDefault="00000000">
            <w:pPr>
              <w:spacing w:after="80"/>
            </w:pPr>
            <w:r>
              <w:rPr>
                <w:b/>
                <w:bCs/>
                <w:color w:val="D85A30"/>
                <w:sz w:val="22"/>
                <w:szCs w:val="22"/>
              </w:rPr>
              <w:t>Note on Follow-up Visits (not counted in target)</w:t>
            </w:r>
          </w:p>
          <w:p w14:paraId="5D3CF9C9" w14:textId="77777777" w:rsidR="00C67836" w:rsidRDefault="00000000">
            <w:pPr>
              <w:spacing w:after="60"/>
            </w:pPr>
            <w:r>
              <w:rPr>
                <w:color w:val="222222"/>
              </w:rPr>
              <w:t>34 beneficiaries received a documented follow-up visit during Q2 (11 in April, 12 in May and 11 in June).</w:t>
            </w:r>
          </w:p>
          <w:p w14:paraId="07477295" w14:textId="77777777" w:rsidR="00C67836" w:rsidRDefault="00000000">
            <w:pPr>
              <w:spacing w:after="60"/>
            </w:pPr>
            <w:r>
              <w:rPr>
                <w:color w:val="222222"/>
              </w:rPr>
              <w:t>Follow-up visits represent continuity of care for people already enrolled and are intentionally excluded from the primary reach and HIV-test target calculations.</w:t>
            </w:r>
          </w:p>
          <w:p w14:paraId="5B037A72" w14:textId="77777777" w:rsidR="00C67836" w:rsidRDefault="00000000">
            <w:pPr>
              <w:spacing w:after="60"/>
            </w:pPr>
            <w:r>
              <w:rPr>
                <w:color w:val="222222"/>
              </w:rPr>
              <w:t>Follow-up activity delivered 4,870 syringes, 834 condoms and 713 lubricants, plus 2 HIV rapid tests: 1 negative and 1 rapid-positive. The rapid-positive result was not confirmed because the beneficiary declined sample collection.</w:t>
            </w:r>
          </w:p>
          <w:p w14:paraId="2F7D49B9" w14:textId="77777777" w:rsidR="00C67836" w:rsidRDefault="00000000">
            <w:pPr>
              <w:spacing w:after="60"/>
            </w:pPr>
            <w:r>
              <w:rPr>
                <w:color w:val="222222"/>
              </w:rPr>
              <w:t>Recommendation: continue tracking and reporting follow-up separately as a retention and service-continuity indicator.</w:t>
            </w:r>
          </w:p>
        </w:tc>
      </w:tr>
    </w:tbl>
    <w:p w14:paraId="3749F720" w14:textId="77777777" w:rsidR="0038480C" w:rsidRDefault="0038480C">
      <w:pPr>
        <w:pStyle w:val="Heading1"/>
        <w:spacing w:before="320" w:after="160"/>
        <w:rPr>
          <w:color w:val="185FA5"/>
          <w:rtl/>
        </w:rPr>
      </w:pPr>
    </w:p>
    <w:p w14:paraId="5C5C87EF" w14:textId="77777777" w:rsidR="0038480C" w:rsidRDefault="0038480C">
      <w:pPr>
        <w:pStyle w:val="Heading1"/>
        <w:spacing w:before="320" w:after="160"/>
        <w:rPr>
          <w:color w:val="185FA5"/>
          <w:rtl/>
        </w:rPr>
      </w:pPr>
    </w:p>
    <w:p w14:paraId="4740944D" w14:textId="77777777" w:rsidR="0038480C" w:rsidRDefault="0038480C">
      <w:pPr>
        <w:pStyle w:val="Heading1"/>
        <w:spacing w:before="320" w:after="160"/>
        <w:rPr>
          <w:color w:val="185FA5"/>
          <w:rtl/>
        </w:rPr>
      </w:pPr>
    </w:p>
    <w:p w14:paraId="39ED838E" w14:textId="64D7D62E" w:rsidR="00C67836" w:rsidRDefault="00000000">
      <w:pPr>
        <w:pStyle w:val="Heading1"/>
        <w:spacing w:before="320" w:after="160"/>
      </w:pPr>
      <w:r>
        <w:rPr>
          <w:color w:val="185FA5"/>
        </w:rPr>
        <w:t>3. Monthly Trend</w:t>
      </w:r>
    </w:p>
    <w:p w14:paraId="67DCB0EE" w14:textId="77777777" w:rsidR="00C67836" w:rsidRPr="0038480C" w:rsidRDefault="00000000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Outreach activity increased sharply from 98 beneficiaries in April to 213 in May, then declined to 176 in June (a 17.4% decrease from May). Despite the uneven monthly pattern, total Q2 reach exceeded the quarterly target by 21 beneficiaries.</w:t>
      </w:r>
    </w:p>
    <w:p w14:paraId="187C8C34" w14:textId="77777777" w:rsidR="00C67836" w:rsidRDefault="00000000">
      <w:pPr>
        <w:jc w:val="center"/>
      </w:pPr>
      <w:r>
        <w:rPr>
          <w:noProof/>
        </w:rPr>
        <w:drawing>
          <wp:inline distT="0" distB="0" distL="0" distR="0" wp14:anchorId="7681552B" wp14:editId="5AAD41AA">
            <wp:extent cx="4762500" cy="2581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7663" w14:textId="77777777" w:rsidR="00C67836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April: 98  |  May: 213  |  June: 176</w:t>
      </w:r>
    </w:p>
    <w:p w14:paraId="2199A974" w14:textId="77777777" w:rsidR="00C67836" w:rsidRDefault="00000000">
      <w:pPr>
        <w:pStyle w:val="Heading1"/>
        <w:spacing w:before="320" w:after="160"/>
      </w:pPr>
      <w:r>
        <w:rPr>
          <w:color w:val="185FA5"/>
        </w:rPr>
        <w:t>4. Beneficiary Profile</w:t>
      </w:r>
    </w:p>
    <w:p w14:paraId="1F0699CA" w14:textId="77777777" w:rsidR="00C67836" w:rsidRDefault="00000000">
      <w:pPr>
        <w:pStyle w:val="Heading2"/>
        <w:spacing w:before="220" w:after="120"/>
      </w:pPr>
      <w:r>
        <w:rPr>
          <w:color w:val="222222"/>
        </w:rPr>
        <w:t>4.1 Gender Distribution</w:t>
      </w:r>
    </w:p>
    <w:p w14:paraId="5B469B45" w14:textId="77777777" w:rsidR="00C67836" w:rsidRPr="0038480C" w:rsidRDefault="00000000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The vast majority of beneficiaries reached were male (448, 92.0%), with 39 female beneficiaries (8.0%). This ratio is consistent with the population profile typically reached through IDU-focused outreach in Giza.</w:t>
      </w:r>
    </w:p>
    <w:p w14:paraId="3EBF8B72" w14:textId="77777777" w:rsidR="00C67836" w:rsidRDefault="00000000">
      <w:pPr>
        <w:jc w:val="center"/>
      </w:pPr>
      <w:r>
        <w:rPr>
          <w:noProof/>
        </w:rPr>
        <w:drawing>
          <wp:inline distT="0" distB="0" distL="0" distR="0" wp14:anchorId="43BCF817" wp14:editId="43866252">
            <wp:extent cx="3238500" cy="2590800"/>
            <wp:effectExtent l="0" t="0" r="0" b="0"/>
            <wp:docPr id="456684970" name="Picture 456684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8FEC" w14:textId="77777777" w:rsidR="0038480C" w:rsidRDefault="0038480C">
      <w:pPr>
        <w:pStyle w:val="Heading2"/>
        <w:spacing w:before="220" w:after="120"/>
        <w:rPr>
          <w:color w:val="222222"/>
          <w:rtl/>
        </w:rPr>
      </w:pPr>
    </w:p>
    <w:p w14:paraId="036168C9" w14:textId="77777777" w:rsidR="0038480C" w:rsidRDefault="0038480C">
      <w:pPr>
        <w:pStyle w:val="Heading2"/>
        <w:spacing w:before="220" w:after="120"/>
        <w:rPr>
          <w:color w:val="222222"/>
          <w:rtl/>
        </w:rPr>
      </w:pPr>
    </w:p>
    <w:p w14:paraId="0044B2FB" w14:textId="77777777" w:rsidR="0038480C" w:rsidRDefault="0038480C">
      <w:pPr>
        <w:pStyle w:val="Heading2"/>
        <w:spacing w:before="220" w:after="120"/>
        <w:rPr>
          <w:color w:val="222222"/>
          <w:rtl/>
        </w:rPr>
      </w:pPr>
    </w:p>
    <w:p w14:paraId="31BD9F04" w14:textId="77777777" w:rsidR="0038480C" w:rsidRDefault="0038480C">
      <w:pPr>
        <w:pStyle w:val="Heading2"/>
        <w:spacing w:before="220" w:after="120"/>
        <w:rPr>
          <w:color w:val="222222"/>
          <w:rtl/>
        </w:rPr>
      </w:pPr>
    </w:p>
    <w:p w14:paraId="55556509" w14:textId="66930898" w:rsidR="00C67836" w:rsidRDefault="00000000">
      <w:pPr>
        <w:pStyle w:val="Heading2"/>
        <w:spacing w:before="220" w:after="120"/>
      </w:pPr>
      <w:r>
        <w:rPr>
          <w:color w:val="222222"/>
        </w:rPr>
        <w:t>4.2 Age Distribution</w:t>
      </w:r>
    </w:p>
    <w:p w14:paraId="667D4A8E" w14:textId="4830E2BF" w:rsidR="00E10971" w:rsidRDefault="00000000" w:rsidP="0038480C">
      <w:pPr>
        <w:spacing w:after="120"/>
      </w:pPr>
      <w:r w:rsidRPr="0038480C">
        <w:rPr>
          <w:sz w:val="22"/>
          <w:szCs w:val="22"/>
        </w:rPr>
        <w:t>The 20–44 age band accounts for the large majority of beneficiaries (440 of 487, ~90%), with the 40–44 group the single largest cohort (98 beneficiaries). Adolescents/young adults (15–19) remain a small but present group (6 beneficiaries) warranting continued targeted outreach</w:t>
      </w:r>
      <w:r>
        <w:t>.</w:t>
      </w:r>
    </w:p>
    <w:p w14:paraId="73F83A5B" w14:textId="77777777" w:rsidR="00C67836" w:rsidRDefault="00000000">
      <w:pPr>
        <w:jc w:val="center"/>
      </w:pPr>
      <w:r>
        <w:rPr>
          <w:noProof/>
        </w:rPr>
        <w:drawing>
          <wp:inline distT="0" distB="0" distL="0" distR="0" wp14:anchorId="1576C712" wp14:editId="08BFCADE">
            <wp:extent cx="4762500" cy="2581275"/>
            <wp:effectExtent l="0" t="0" r="0" b="0"/>
            <wp:docPr id="829900512" name="Picture 82990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A1EF" w14:textId="77777777" w:rsidR="00C67836" w:rsidRPr="0038480C" w:rsidRDefault="00000000">
      <w:pPr>
        <w:pStyle w:val="Heading1"/>
        <w:spacing w:before="320" w:after="160"/>
        <w:rPr>
          <w:sz w:val="36"/>
          <w:szCs w:val="36"/>
        </w:rPr>
      </w:pPr>
      <w:r>
        <w:rPr>
          <w:color w:val="185FA5"/>
        </w:rPr>
        <w:t xml:space="preserve">5. </w:t>
      </w:r>
      <w:r w:rsidRPr="0038480C">
        <w:rPr>
          <w:color w:val="185FA5"/>
          <w:sz w:val="36"/>
          <w:szCs w:val="36"/>
        </w:rPr>
        <w:t>Geographic Coverage</w:t>
      </w:r>
    </w:p>
    <w:p w14:paraId="7BC7FE73" w14:textId="77777777" w:rsidR="00C67836" w:rsidRPr="0038480C" w:rsidRDefault="00000000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After consolidating area-name variants, the geographic distribution chart presents all Q2 beneficiary contacts (basic visits plus follow-up visits) using unified area names: 6th of October (160 contacts), Al-Warraq Al-Sawahel (128), Dokki (120), Imbaba (90), Al-Haraneya (12), Bein El-Sarayat (6), Al-Haram (3), and Manshaet El-Qanater Road (2). Basic-visit target reach remains reported separately as 487 beneficiaries.</w:t>
      </w:r>
    </w:p>
    <w:p w14:paraId="42797D8F" w14:textId="77777777" w:rsidR="00C67836" w:rsidRDefault="00000000">
      <w:pPr>
        <w:jc w:val="center"/>
      </w:pPr>
      <w:r>
        <w:rPr>
          <w:noProof/>
        </w:rPr>
        <w:drawing>
          <wp:inline distT="0" distB="0" distL="0" distR="0" wp14:anchorId="40D66B82" wp14:editId="7CE7314A">
            <wp:extent cx="5143500" cy="2743200"/>
            <wp:effectExtent l="0" t="0" r="0" b="0"/>
            <wp:docPr id="420972183" name="Picture 420972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55CA" w14:textId="77777777" w:rsidR="0038480C" w:rsidRDefault="0038480C">
      <w:pPr>
        <w:pStyle w:val="Heading1"/>
        <w:spacing w:before="320" w:after="160"/>
        <w:rPr>
          <w:color w:val="185FA5"/>
          <w:rtl/>
        </w:rPr>
      </w:pPr>
    </w:p>
    <w:p w14:paraId="1EE8E2FE" w14:textId="77777777" w:rsidR="0038480C" w:rsidRDefault="0038480C">
      <w:pPr>
        <w:pStyle w:val="Heading1"/>
        <w:spacing w:before="320" w:after="160"/>
        <w:rPr>
          <w:color w:val="185FA5"/>
          <w:rtl/>
        </w:rPr>
      </w:pPr>
    </w:p>
    <w:p w14:paraId="49D2B37C" w14:textId="0878D751" w:rsidR="00C67836" w:rsidRDefault="00000000">
      <w:pPr>
        <w:pStyle w:val="Heading1"/>
        <w:spacing w:before="320" w:after="160"/>
      </w:pPr>
      <w:r>
        <w:rPr>
          <w:color w:val="185FA5"/>
        </w:rPr>
        <w:lastRenderedPageBreak/>
        <w:t>6. HIV Testing &amp; Care Cascade</w:t>
      </w:r>
    </w:p>
    <w:p w14:paraId="333C8266" w14:textId="77777777" w:rsidR="00C67836" w:rsidRPr="0038480C" w:rsidRDefault="00000000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Basic-visit testing and follow-up testing are presented separately to avoid mixing different denominators. All five confirmed positive cases were linked to treatment; two rapid-positive results remained unconfirmed because the beneficiaries declined sample collection.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69"/>
        <w:gridCol w:w="721"/>
        <w:gridCol w:w="1340"/>
      </w:tblGrid>
      <w:tr w:rsidR="00C67836" w14:paraId="10EB60A6" w14:textId="77777777">
        <w:trPr>
          <w:tblHeader/>
        </w:trPr>
        <w:tc>
          <w:tcPr>
            <w:tcW w:w="5000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3618A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Step</w:t>
            </w:r>
          </w:p>
        </w:tc>
        <w:tc>
          <w:tcPr>
            <w:tcW w:w="5000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1C6D9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Count</w:t>
            </w:r>
          </w:p>
        </w:tc>
        <w:tc>
          <w:tcPr>
            <w:tcW w:w="5000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632E6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21"/>
              </w:rPr>
              <w:t>Rate / Interpretation</w:t>
            </w:r>
          </w:p>
        </w:tc>
      </w:tr>
      <w:tr w:rsidR="00C67836" w14:paraId="080D586D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77189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Beneficiaries reached (basic visits)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B5535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487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0B42F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-</w:t>
            </w:r>
          </w:p>
        </w:tc>
      </w:tr>
      <w:tr w:rsidR="00C67836" w14:paraId="7069D886" w14:textId="77777777"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61010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HIV rapid tests (basic visits)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2EDB6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433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625EC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88.9% of basic reach</w:t>
            </w:r>
          </w:p>
        </w:tc>
      </w:tr>
      <w:tr w:rsidR="00C67836" w14:paraId="10F73A1D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48E62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Rapid test - negative (basic visits)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70942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427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B2A02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98.6% of basic tests</w:t>
            </w:r>
          </w:p>
        </w:tc>
      </w:tr>
      <w:tr w:rsidR="00C67836" w14:paraId="6A7C4B2B" w14:textId="77777777"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D2487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Rapid test - positive (basic visits)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F3F83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6</w:t>
            </w:r>
          </w:p>
        </w:tc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450CA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1.4% of basic tests</w:t>
            </w:r>
          </w:p>
        </w:tc>
      </w:tr>
      <w:tr w:rsidR="00C67836" w14:paraId="0AB097DF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C9F24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HIV rapid tests (follow-up visits)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1FED9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2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A8B58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Reported separately</w:t>
            </w:r>
          </w:p>
        </w:tc>
      </w:tr>
      <w:tr w:rsidR="00C67836" w14:paraId="7F2861DC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F04E1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Rapid test - positive (Q2 total)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AEE6D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7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99867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Basic + follow-up</w:t>
            </w:r>
          </w:p>
        </w:tc>
      </w:tr>
      <w:tr w:rsidR="00C67836" w14:paraId="4AAD4DDD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F28D6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Confirmed, referred &amp; linked to treatment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E7395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5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4ECCD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71.4% of rapid-positive</w:t>
            </w:r>
          </w:p>
        </w:tc>
      </w:tr>
      <w:tr w:rsidR="00C67836" w14:paraId="1C9141AB" w14:textId="77777777"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0E582" w14:textId="77777777" w:rsidR="00C67836" w:rsidRDefault="00000000">
            <w:r>
              <w:rPr>
                <w:b/>
                <w:bCs/>
                <w:color w:val="222222"/>
                <w:sz w:val="18"/>
                <w:szCs w:val="21"/>
              </w:rPr>
              <w:t>Rapid-positive not confirmed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19E57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2</w:t>
            </w:r>
          </w:p>
        </w:tc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46205" w14:textId="77777777" w:rsidR="00C67836" w:rsidRDefault="00000000">
            <w:pPr>
              <w:jc w:val="center"/>
            </w:pPr>
            <w:r>
              <w:rPr>
                <w:color w:val="222222"/>
                <w:sz w:val="18"/>
                <w:szCs w:val="21"/>
              </w:rPr>
              <w:t>28.6% of rapid-positive</w:t>
            </w:r>
          </w:p>
        </w:tc>
      </w:tr>
    </w:tbl>
    <w:p w14:paraId="0B910D86" w14:textId="77777777" w:rsidR="00C67836" w:rsidRDefault="00000000">
      <w:pPr>
        <w:spacing w:after="120"/>
      </w:pPr>
      <w:r>
        <w:rPr>
          <w:i/>
          <w:iCs/>
          <w:color w:val="555555"/>
        </w:rPr>
        <w:t>Across basic and follow-up activity, 435 HIV rapid tests were documented: 428 negative and 7 rapid-positive. Five rapid-positive cases were confirmed, referred and linked to treatment. Two rapid-positive results (one basic visit and one follow-up visit) were not confirmed because sample collection was declined. Linkage among confirmed cases was 100% (5 of 5).</w:t>
      </w:r>
    </w:p>
    <w:p w14:paraId="56C07D55" w14:textId="7D977041" w:rsidR="00C67836" w:rsidRDefault="00000000">
      <w:pPr>
        <w:pStyle w:val="Heading1"/>
        <w:spacing w:before="320" w:after="160"/>
      </w:pPr>
      <w:r>
        <w:rPr>
          <w:color w:val="185FA5"/>
        </w:rPr>
        <w:t>7. Prevention Commodities Distributed</w:t>
      </w:r>
    </w:p>
    <w:p w14:paraId="319513CD" w14:textId="77777777" w:rsidR="00C67836" w:rsidRPr="0038480C" w:rsidRDefault="00000000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Syringes remained the dominant prevention commodity, reflecting the IDU focus of the program. The revised dataset records 45,360 syringes distributed during basic visits and 4,870 during follow-up visits, for a Q2 total of 50,230.</w:t>
      </w:r>
    </w:p>
    <w:p w14:paraId="3F2564DB" w14:textId="77777777" w:rsidR="00C67836" w:rsidRDefault="00000000">
      <w:pPr>
        <w:jc w:val="center"/>
      </w:pPr>
      <w:r>
        <w:rPr>
          <w:noProof/>
        </w:rPr>
        <w:drawing>
          <wp:inline distT="0" distB="0" distL="0" distR="0" wp14:anchorId="4C5AE6A2" wp14:editId="564EAD57">
            <wp:extent cx="4762500" cy="2724150"/>
            <wp:effectExtent l="0" t="0" r="0" b="0"/>
            <wp:docPr id="2059622155" name="Picture 2059622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4"/>
        <w:gridCol w:w="2611"/>
        <w:gridCol w:w="2249"/>
        <w:gridCol w:w="1416"/>
      </w:tblGrid>
      <w:tr w:rsidR="00C67836" w14:paraId="6776AA9B" w14:textId="77777777" w:rsidTr="0072641D">
        <w:trPr>
          <w:tblHeader/>
        </w:trPr>
        <w:tc>
          <w:tcPr>
            <w:tcW w:w="1933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B070B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Commodity</w:t>
            </w:r>
          </w:p>
        </w:tc>
        <w:tc>
          <w:tcPr>
            <w:tcW w:w="1276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9F08A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Basic Visits</w:t>
            </w:r>
          </w:p>
        </w:tc>
        <w:tc>
          <w:tcPr>
            <w:tcW w:w="1099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92D0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Follow-up Visits</w:t>
            </w:r>
          </w:p>
        </w:tc>
        <w:tc>
          <w:tcPr>
            <w:tcW w:w="692" w:type="pct"/>
            <w:shd w:val="clear" w:color="auto" w:fill="185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5DD47" w14:textId="77777777" w:rsidR="00C6783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Q2 Total</w:t>
            </w:r>
          </w:p>
        </w:tc>
      </w:tr>
      <w:tr w:rsidR="00C67836" w14:paraId="336B4039" w14:textId="77777777" w:rsidTr="0072641D">
        <w:tc>
          <w:tcPr>
            <w:tcW w:w="1933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BF6E5" w14:textId="77777777" w:rsidR="00C67836" w:rsidRDefault="00000000">
            <w:r>
              <w:rPr>
                <w:b/>
                <w:bCs/>
                <w:color w:val="222222"/>
                <w:sz w:val="21"/>
                <w:szCs w:val="21"/>
              </w:rPr>
              <w:t>Syringes</w:t>
            </w:r>
          </w:p>
        </w:tc>
        <w:tc>
          <w:tcPr>
            <w:tcW w:w="1276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B7FF8" w14:textId="77777777" w:rsidR="00C67836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45,360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8F93A" w14:textId="77777777" w:rsidR="00C67836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4,870</w:t>
            </w:r>
          </w:p>
        </w:tc>
        <w:tc>
          <w:tcPr>
            <w:tcW w:w="692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DFF62" w14:textId="77777777" w:rsidR="00C67836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50,230</w:t>
            </w:r>
          </w:p>
        </w:tc>
      </w:tr>
      <w:tr w:rsidR="00C67836" w14:paraId="3B7A14EB" w14:textId="77777777" w:rsidTr="0072641D">
        <w:tc>
          <w:tcPr>
            <w:tcW w:w="1933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B9A95" w14:textId="77777777" w:rsidR="00C67836" w:rsidRDefault="00000000">
            <w:r>
              <w:rPr>
                <w:b/>
                <w:bCs/>
                <w:color w:val="222222"/>
                <w:sz w:val="21"/>
                <w:szCs w:val="21"/>
              </w:rPr>
              <w:t>Condoms</w:t>
            </w:r>
          </w:p>
        </w:tc>
        <w:tc>
          <w:tcPr>
            <w:tcW w:w="1276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611BB" w14:textId="77777777" w:rsidR="00C67836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5,602</w:t>
            </w:r>
          </w:p>
        </w:tc>
        <w:tc>
          <w:tcPr>
            <w:tcW w:w="1099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31756" w14:textId="77777777" w:rsidR="00C67836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834</w:t>
            </w:r>
          </w:p>
        </w:tc>
        <w:tc>
          <w:tcPr>
            <w:tcW w:w="69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3275D" w14:textId="77777777" w:rsidR="00C67836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6,436</w:t>
            </w:r>
          </w:p>
        </w:tc>
      </w:tr>
      <w:tr w:rsidR="00C67836" w14:paraId="5315408B" w14:textId="77777777" w:rsidTr="0072641D">
        <w:tc>
          <w:tcPr>
            <w:tcW w:w="1933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15835" w14:textId="77777777" w:rsidR="00C67836" w:rsidRDefault="00000000">
            <w:r>
              <w:rPr>
                <w:b/>
                <w:bCs/>
                <w:color w:val="222222"/>
                <w:sz w:val="21"/>
                <w:szCs w:val="21"/>
              </w:rPr>
              <w:t>Lubricants</w:t>
            </w:r>
          </w:p>
        </w:tc>
        <w:tc>
          <w:tcPr>
            <w:tcW w:w="1276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1C51D" w14:textId="77777777" w:rsidR="00C67836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6,892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3DDE6" w14:textId="77777777" w:rsidR="00C67836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713</w:t>
            </w:r>
          </w:p>
        </w:tc>
        <w:tc>
          <w:tcPr>
            <w:tcW w:w="692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49DC4" w14:textId="77777777" w:rsidR="00C67836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7,605</w:t>
            </w:r>
          </w:p>
        </w:tc>
      </w:tr>
    </w:tbl>
    <w:p w14:paraId="50D3F05D" w14:textId="77777777" w:rsidR="0038480C" w:rsidRDefault="0038480C">
      <w:pPr>
        <w:pStyle w:val="Heading1"/>
        <w:spacing w:before="320" w:after="160"/>
        <w:rPr>
          <w:color w:val="185FA5"/>
          <w:rtl/>
        </w:rPr>
      </w:pPr>
    </w:p>
    <w:p w14:paraId="7159F440" w14:textId="272EFE06" w:rsidR="00C67836" w:rsidRDefault="00000000">
      <w:pPr>
        <w:pStyle w:val="Heading1"/>
        <w:spacing w:before="320" w:after="160"/>
      </w:pPr>
      <w:r>
        <w:rPr>
          <w:color w:val="185FA5"/>
        </w:rPr>
        <w:t>8. Additional Clinical Services</w:t>
      </w:r>
    </w:p>
    <w:p w14:paraId="22FC40B3" w14:textId="77777777" w:rsidR="00C67836" w:rsidRPr="0038480C" w:rsidRDefault="00000000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Beyond HIV testing and commodity distribution, the program delivered the following complementary services across basic and follow-up visits during Q2:</w:t>
      </w:r>
    </w:p>
    <w:p w14:paraId="424AD9D6" w14:textId="77777777" w:rsidR="00C67836" w:rsidRPr="0038480C" w:rsidRDefault="00000000" w:rsidP="0038480C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Syphilis testing: 12 beneficiaries (11 basic visits and 1 follow-up visit)</w:t>
      </w:r>
    </w:p>
    <w:p w14:paraId="4C93B32B" w14:textId="77777777" w:rsidR="00C67836" w:rsidRPr="0038480C" w:rsidRDefault="00000000" w:rsidP="0038480C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Psychosocial support sessions: 10 beneficiaries (all during basic visits)</w:t>
      </w:r>
    </w:p>
    <w:p w14:paraId="594D5CF3" w14:textId="77777777" w:rsidR="00C67836" w:rsidRPr="0038480C" w:rsidRDefault="00000000" w:rsidP="0038480C">
      <w:pPr>
        <w:spacing w:after="120"/>
        <w:rPr>
          <w:sz w:val="22"/>
          <w:szCs w:val="22"/>
        </w:rPr>
      </w:pPr>
      <w:r w:rsidRPr="0038480C">
        <w:rPr>
          <w:sz w:val="22"/>
          <w:szCs w:val="22"/>
        </w:rPr>
        <w:t>OST / methadone referrals: 4 beneficiaries (all during basic visits)</w:t>
      </w:r>
    </w:p>
    <w:p w14:paraId="0BEEF99F" w14:textId="77777777" w:rsidR="0072641D" w:rsidRPr="0072641D" w:rsidRDefault="0072641D" w:rsidP="0072641D">
      <w:pPr>
        <w:pStyle w:val="Heading1"/>
        <w:spacing w:before="320" w:after="160"/>
        <w:rPr>
          <w:color w:val="185FA5"/>
        </w:rPr>
      </w:pPr>
      <w:r w:rsidRPr="0072641D">
        <w:rPr>
          <w:color w:val="185FA5"/>
        </w:rPr>
        <w:t>9. Data Quality and Progress Against Annual Targets</w:t>
      </w:r>
    </w:p>
    <w:p w14:paraId="69EAF69E" w14:textId="77777777" w:rsidR="0072641D" w:rsidRPr="0038480C" w:rsidRDefault="0072641D" w:rsidP="0072641D">
      <w:pPr>
        <w:pStyle w:val="Heading1"/>
        <w:spacing w:before="320" w:after="160"/>
        <w:rPr>
          <w:color w:val="auto"/>
          <w:sz w:val="22"/>
          <w:szCs w:val="22"/>
        </w:rPr>
      </w:pPr>
      <w:r w:rsidRPr="0038480C">
        <w:rPr>
          <w:color w:val="auto"/>
          <w:sz w:val="22"/>
          <w:szCs w:val="22"/>
        </w:rPr>
        <w:t>Following the latest review meeting, six date-related outliers were corrected using DataBridge Pro by cross-checking beneficiary codes against the recorded ages. Manual validation of the revised dataset also found no remaining extreme syringe-distribution outliers. The two previously identified 1,510-unit syringe entries were corrected to 150 units.</w:t>
      </w:r>
    </w:p>
    <w:p w14:paraId="7603EB87" w14:textId="77777777" w:rsidR="0072641D" w:rsidRPr="0038480C" w:rsidRDefault="0072641D" w:rsidP="0072641D">
      <w:pPr>
        <w:pStyle w:val="Heading1"/>
        <w:spacing w:before="320" w:after="160"/>
        <w:rPr>
          <w:color w:val="auto"/>
          <w:sz w:val="22"/>
          <w:szCs w:val="22"/>
          <w:rtl/>
        </w:rPr>
      </w:pPr>
      <w:r w:rsidRPr="0038480C">
        <w:rPr>
          <w:color w:val="auto"/>
          <w:sz w:val="22"/>
          <w:szCs w:val="22"/>
        </w:rPr>
        <w:t>One high-value follow-up condom record—144 requested and 144 provided—is internally consistent but should be verified against the original source form. The DataBridge Pro data-quality assessment should be rerun on the revised dataset before final submission.</w:t>
      </w:r>
    </w:p>
    <w:p w14:paraId="6DFC6D65" w14:textId="77777777" w:rsidR="0038480C" w:rsidRPr="0072641D" w:rsidRDefault="0038480C" w:rsidP="0072641D">
      <w:pPr>
        <w:pStyle w:val="Heading1"/>
        <w:spacing w:before="320" w:after="160"/>
        <w:rPr>
          <w:color w:val="auto"/>
          <w:sz w:val="20"/>
          <w:szCs w:val="20"/>
        </w:rPr>
      </w:pPr>
    </w:p>
    <w:p w14:paraId="0F6F9BF9" w14:textId="77777777" w:rsidR="0072641D" w:rsidRPr="0038480C" w:rsidRDefault="0072641D" w:rsidP="0072641D">
      <w:pPr>
        <w:pStyle w:val="Heading1"/>
        <w:numPr>
          <w:ilvl w:val="0"/>
          <w:numId w:val="3"/>
        </w:numPr>
        <w:spacing w:before="320" w:after="160"/>
        <w:rPr>
          <w:color w:val="auto"/>
          <w:sz w:val="22"/>
          <w:szCs w:val="22"/>
        </w:rPr>
      </w:pPr>
      <w:r w:rsidRPr="0038480C">
        <w:rPr>
          <w:color w:val="auto"/>
          <w:sz w:val="22"/>
          <w:szCs w:val="22"/>
        </w:rPr>
        <w:t>Confirmatory-test and treatment-referral fields are blank in 98.8%–99.0% of basic-visit records. This is expected because these fields apply only to rapid-positive cases, rather than to the full beneficiary population.</w:t>
      </w:r>
    </w:p>
    <w:p w14:paraId="47BF51BC" w14:textId="77777777" w:rsidR="0072641D" w:rsidRPr="0038480C" w:rsidRDefault="0072641D" w:rsidP="0072641D">
      <w:pPr>
        <w:pStyle w:val="Heading1"/>
        <w:numPr>
          <w:ilvl w:val="0"/>
          <w:numId w:val="3"/>
        </w:numPr>
        <w:spacing w:before="320" w:after="160"/>
        <w:rPr>
          <w:color w:val="auto"/>
          <w:sz w:val="22"/>
          <w:szCs w:val="22"/>
        </w:rPr>
      </w:pPr>
      <w:r w:rsidRPr="0038480C">
        <w:rPr>
          <w:color w:val="auto"/>
          <w:sz w:val="22"/>
          <w:szCs w:val="22"/>
        </w:rPr>
        <w:t>Blank commodity-quantity fields occur in 20.5% of condom records, 19.9% of lubricant records, and 2.1% of syringe records. These blanks largely correspond to records where both need and provision were marked “No” and should therefore be treated as not applicable rather than as refusal-related missing data.</w:t>
      </w:r>
    </w:p>
    <w:p w14:paraId="11AF6E92" w14:textId="77777777" w:rsidR="0072641D" w:rsidRPr="0038480C" w:rsidRDefault="0072641D" w:rsidP="0072641D">
      <w:pPr>
        <w:pStyle w:val="Heading1"/>
        <w:numPr>
          <w:ilvl w:val="0"/>
          <w:numId w:val="3"/>
        </w:numPr>
        <w:spacing w:before="320" w:after="160"/>
        <w:rPr>
          <w:color w:val="auto"/>
          <w:sz w:val="22"/>
          <w:szCs w:val="22"/>
        </w:rPr>
      </w:pPr>
      <w:r w:rsidRPr="0038480C">
        <w:rPr>
          <w:color w:val="auto"/>
          <w:sz w:val="22"/>
          <w:szCs w:val="22"/>
        </w:rPr>
        <w:t>Fifty-four basic-visit records (11.1%) have no documented rapid-test result. The dataset confirms that no test or result was recorded, but it does not document the reason. These records should not be classified as test refusals without a specific reason field.</w:t>
      </w:r>
    </w:p>
    <w:p w14:paraId="12317F47" w14:textId="77777777" w:rsidR="0072641D" w:rsidRPr="0072641D" w:rsidRDefault="0072641D" w:rsidP="0072641D">
      <w:pPr>
        <w:pStyle w:val="Heading1"/>
        <w:spacing w:before="320" w:after="160"/>
        <w:rPr>
          <w:color w:val="185FA5"/>
          <w:sz w:val="24"/>
          <w:szCs w:val="24"/>
        </w:rPr>
      </w:pPr>
      <w:r w:rsidRPr="0072641D">
        <w:rPr>
          <w:color w:val="185FA5"/>
          <w:sz w:val="24"/>
          <w:szCs w:val="24"/>
        </w:rPr>
        <w:t>Progress Against Annual Targets</w:t>
      </w:r>
    </w:p>
    <w:p w14:paraId="0FEC8F07" w14:textId="77777777" w:rsidR="0072641D" w:rsidRDefault="0072641D" w:rsidP="0072641D">
      <w:pPr>
        <w:pStyle w:val="Heading1"/>
        <w:spacing w:before="320" w:after="160"/>
        <w:rPr>
          <w:color w:val="000000"/>
          <w:sz w:val="20"/>
        </w:rPr>
      </w:pPr>
      <w:r>
        <w:rPr>
          <w:color w:val="000000"/>
          <w:sz w:val="20"/>
        </w:rPr>
        <w:t>By the end of Q2 2026, the program had reached 905 beneficiaries against an annual target of 2,024, representing 44.7% achievement. An additional 51 follow-up visits were documented, bringing the total number of beneficiary contacts to 956. Follow-up visits are reported separately and are not counted against the annual reach target.</w:t>
      </w:r>
    </w:p>
    <w:p w14:paraId="2011EED1" w14:textId="77777777" w:rsidR="0038480C" w:rsidRDefault="0038480C" w:rsidP="0072641D">
      <w:pPr>
        <w:pStyle w:val="Heading1"/>
        <w:spacing w:before="320" w:after="160"/>
        <w:rPr>
          <w:color w:val="000000"/>
          <w:sz w:val="20"/>
        </w:rPr>
      </w:pPr>
    </w:p>
    <w:p w14:paraId="00822602" w14:textId="77777777" w:rsidR="0038480C" w:rsidRPr="0072641D" w:rsidRDefault="0038480C" w:rsidP="0072641D">
      <w:pPr>
        <w:pStyle w:val="Heading1"/>
        <w:spacing w:before="320" w:after="160"/>
        <w:rPr>
          <w:color w:val="auto"/>
          <w:sz w:val="20"/>
          <w:szCs w:val="20"/>
        </w:rPr>
      </w:pPr>
    </w:p>
    <w:p w14:paraId="0137B6EB" w14:textId="77777777" w:rsidR="0072641D" w:rsidRDefault="0072641D" w:rsidP="0072641D">
      <w:pPr>
        <w:pStyle w:val="Heading1"/>
        <w:spacing w:before="320" w:after="160"/>
        <w:rPr>
          <w:color w:val="auto"/>
          <w:sz w:val="20"/>
          <w:szCs w:val="20"/>
        </w:rPr>
      </w:pPr>
      <w:r>
        <w:rPr>
          <w:color w:val="000000"/>
          <w:sz w:val="20"/>
        </w:rPr>
        <w:t>A total of 770 HIV rapid tests were documented during the first half of the year. This figure comprises 764 tests conducted during basic visits and 6 tests conducted during follow-up visits. Follow-up tests are excluded from annual target achievement calculations. Therefore, 764 HIV tests are counted against the annual target of 1,721, representing 44.4% achievement.</w:t>
      </w:r>
    </w:p>
    <w:p w14:paraId="4F88F950" w14:textId="77777777" w:rsidR="0072641D" w:rsidRDefault="0072641D" w:rsidP="0072641D">
      <w:pPr>
        <w:pStyle w:val="Heading1"/>
        <w:spacing w:before="320" w:after="160"/>
        <w:rPr>
          <w:color w:val="auto"/>
          <w:sz w:val="20"/>
          <w:szCs w:val="20"/>
        </w:rPr>
      </w:pPr>
      <w:r w:rsidRPr="0072641D">
        <w:rPr>
          <w:color w:val="auto"/>
          <w:sz w:val="20"/>
          <w:szCs w:val="20"/>
        </w:rPr>
        <w:t>Follow-up visits and follow-up HIV tests are reported separately and excluded from annual target achievement calculations.</w:t>
      </w:r>
    </w:p>
    <w:p w14:paraId="3805BF4F" w14:textId="77777777" w:rsidR="0072641D" w:rsidRPr="0072641D" w:rsidRDefault="0072641D" w:rsidP="0072641D">
      <w:pPr>
        <w:pStyle w:val="Heading1"/>
        <w:spacing w:before="320" w:after="160"/>
        <w:rPr>
          <w:color w:val="auto"/>
          <w:sz w:val="20"/>
          <w:szCs w:val="20"/>
        </w:rPr>
      </w:pP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1478"/>
        <w:gridCol w:w="2689"/>
        <w:gridCol w:w="1327"/>
        <w:gridCol w:w="1150"/>
      </w:tblGrid>
      <w:tr w:rsidR="0072641D" w:rsidRPr="0072641D" w14:paraId="7069F4AD" w14:textId="77777777" w:rsidTr="00726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111C3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rPr>
                <w:color w:val="auto"/>
                <w:sz w:val="20"/>
                <w:szCs w:val="20"/>
              </w:rPr>
            </w:pPr>
            <w:r w:rsidRPr="0072641D">
              <w:rPr>
                <w:color w:val="auto"/>
                <w:sz w:val="20"/>
                <w:szCs w:val="20"/>
              </w:rPr>
              <w:t>Indicator</w:t>
            </w:r>
          </w:p>
        </w:tc>
        <w:tc>
          <w:tcPr>
            <w:tcW w:w="0" w:type="auto"/>
            <w:hideMark/>
          </w:tcPr>
          <w:p w14:paraId="79C34F1D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2641D">
              <w:rPr>
                <w:color w:val="auto"/>
                <w:sz w:val="20"/>
                <w:szCs w:val="20"/>
              </w:rPr>
              <w:t>Annual Target</w:t>
            </w:r>
          </w:p>
        </w:tc>
        <w:tc>
          <w:tcPr>
            <w:tcW w:w="0" w:type="auto"/>
            <w:hideMark/>
          </w:tcPr>
          <w:p w14:paraId="54BEF8B4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2641D">
              <w:rPr>
                <w:color w:val="auto"/>
                <w:sz w:val="20"/>
                <w:szCs w:val="20"/>
              </w:rPr>
              <w:t>Counted Result to End of Q2</w:t>
            </w:r>
          </w:p>
        </w:tc>
        <w:tc>
          <w:tcPr>
            <w:tcW w:w="0" w:type="auto"/>
            <w:hideMark/>
          </w:tcPr>
          <w:p w14:paraId="3D580442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2641D">
              <w:rPr>
                <w:color w:val="auto"/>
                <w:sz w:val="20"/>
                <w:szCs w:val="20"/>
              </w:rPr>
              <w:t>Achievement</w:t>
            </w:r>
          </w:p>
        </w:tc>
        <w:tc>
          <w:tcPr>
            <w:tcW w:w="0" w:type="auto"/>
            <w:hideMark/>
          </w:tcPr>
          <w:p w14:paraId="74A81CE8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2641D">
              <w:rPr>
                <w:color w:val="auto"/>
                <w:sz w:val="20"/>
                <w:szCs w:val="20"/>
              </w:rPr>
              <w:t>Remaining</w:t>
            </w:r>
          </w:p>
        </w:tc>
      </w:tr>
      <w:tr w:rsidR="0072641D" w:rsidRPr="0072641D" w14:paraId="35904727" w14:textId="77777777" w:rsidTr="00726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C8F8E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rPr>
                <w:color w:val="auto"/>
                <w:sz w:val="20"/>
                <w:szCs w:val="20"/>
              </w:rPr>
            </w:pPr>
            <w:r w:rsidRPr="0072641D">
              <w:rPr>
                <w:color w:val="auto"/>
                <w:sz w:val="20"/>
                <w:szCs w:val="20"/>
              </w:rPr>
              <w:t>Beneficiaries reached</w:t>
            </w:r>
          </w:p>
        </w:tc>
        <w:tc>
          <w:tcPr>
            <w:tcW w:w="0" w:type="auto"/>
            <w:hideMark/>
          </w:tcPr>
          <w:p w14:paraId="477BF40E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2641D">
              <w:rPr>
                <w:color w:val="auto"/>
                <w:sz w:val="20"/>
                <w:szCs w:val="20"/>
              </w:rPr>
              <w:t>2,024</w:t>
            </w:r>
          </w:p>
        </w:tc>
        <w:tc>
          <w:tcPr>
            <w:tcW w:w="0" w:type="auto"/>
            <w:hideMark/>
          </w:tcPr>
          <w:p w14:paraId="794EA323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905</w:t>
            </w:r>
          </w:p>
        </w:tc>
        <w:tc>
          <w:tcPr>
            <w:tcW w:w="0" w:type="auto"/>
            <w:hideMark/>
          </w:tcPr>
          <w:p w14:paraId="58D55EB0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44.7%</w:t>
            </w:r>
          </w:p>
        </w:tc>
        <w:tc>
          <w:tcPr>
            <w:tcW w:w="0" w:type="auto"/>
            <w:hideMark/>
          </w:tcPr>
          <w:p w14:paraId="0C9E7236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1,119</w:t>
            </w:r>
          </w:p>
        </w:tc>
      </w:tr>
      <w:tr w:rsidR="0072641D" w:rsidRPr="0072641D" w14:paraId="2CA53D38" w14:textId="77777777" w:rsidTr="007264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66C38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rPr>
                <w:color w:val="auto"/>
                <w:sz w:val="20"/>
                <w:szCs w:val="20"/>
              </w:rPr>
            </w:pPr>
            <w:r w:rsidRPr="0072641D">
              <w:rPr>
                <w:color w:val="auto"/>
                <w:sz w:val="20"/>
                <w:szCs w:val="20"/>
              </w:rPr>
              <w:t>HIV tests counted against target</w:t>
            </w:r>
          </w:p>
        </w:tc>
        <w:tc>
          <w:tcPr>
            <w:tcW w:w="0" w:type="auto"/>
            <w:hideMark/>
          </w:tcPr>
          <w:p w14:paraId="4072A45E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2641D">
              <w:rPr>
                <w:color w:val="auto"/>
                <w:sz w:val="20"/>
                <w:szCs w:val="20"/>
              </w:rPr>
              <w:t>1,721</w:t>
            </w:r>
          </w:p>
        </w:tc>
        <w:tc>
          <w:tcPr>
            <w:tcW w:w="0" w:type="auto"/>
            <w:hideMark/>
          </w:tcPr>
          <w:p w14:paraId="09188617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764</w:t>
            </w:r>
          </w:p>
        </w:tc>
        <w:tc>
          <w:tcPr>
            <w:tcW w:w="0" w:type="auto"/>
            <w:hideMark/>
          </w:tcPr>
          <w:p w14:paraId="0CDCCEF7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44.4%</w:t>
            </w:r>
          </w:p>
        </w:tc>
        <w:tc>
          <w:tcPr>
            <w:tcW w:w="0" w:type="auto"/>
            <w:hideMark/>
          </w:tcPr>
          <w:p w14:paraId="0DFC8C76" w14:textId="77777777" w:rsidR="0072641D" w:rsidRPr="0072641D" w:rsidRDefault="0072641D" w:rsidP="0072641D">
            <w:pPr>
              <w:pStyle w:val="Heading1"/>
              <w:spacing w:before="320"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</w:rPr>
              <w:t>957</w:t>
            </w:r>
          </w:p>
        </w:tc>
      </w:tr>
    </w:tbl>
    <w:p w14:paraId="66070B64" w14:textId="77777777" w:rsidR="00C67836" w:rsidRPr="0072641D" w:rsidRDefault="00000000">
      <w:pPr>
        <w:pStyle w:val="Heading1"/>
        <w:spacing w:before="320" w:after="160"/>
        <w:rPr>
          <w:color w:val="185FA5"/>
        </w:rPr>
      </w:pPr>
      <w:r w:rsidRPr="0072641D">
        <w:rPr>
          <w:color w:val="185FA5"/>
        </w:rPr>
        <w:t>10. Conclusion &amp; Recommendations</w:t>
      </w:r>
    </w:p>
    <w:p w14:paraId="1810CBB5" w14:textId="77777777" w:rsidR="0072641D" w:rsidRPr="0072641D" w:rsidRDefault="0072641D">
      <w:pPr>
        <w:pStyle w:val="Heading1"/>
        <w:spacing w:before="320" w:after="160"/>
        <w:rPr>
          <w:color w:val="auto"/>
          <w:sz w:val="20"/>
          <w:szCs w:val="20"/>
        </w:rPr>
      </w:pPr>
    </w:p>
    <w:p w14:paraId="374CEC65" w14:textId="77777777" w:rsidR="00C67836" w:rsidRDefault="00000000">
      <w:pPr>
        <w:pStyle w:val="ListParagraph"/>
        <w:numPr>
          <w:ilvl w:val="0"/>
          <w:numId w:val="1"/>
        </w:numPr>
        <w:spacing w:after="80"/>
      </w:pPr>
      <w:r>
        <w:t>Both headline Q2 targets were exceeded: beneficiary reach achieved 104.5% and basic-visit HIV testing achieved 109.3%.</w:t>
      </w:r>
    </w:p>
    <w:p w14:paraId="1D15BC34" w14:textId="77777777" w:rsidR="00C67836" w:rsidRDefault="00000000">
      <w:pPr>
        <w:pStyle w:val="ListParagraph"/>
        <w:numPr>
          <w:ilvl w:val="0"/>
          <w:numId w:val="1"/>
        </w:numPr>
        <w:spacing w:after="80"/>
      </w:pPr>
      <w:r>
        <w:t>Continue reporting follow-up activity (34 beneficiaries) as a separate continuity-of-care indicator and do not merge it into primary reach or testing-target calculations.</w:t>
      </w:r>
    </w:p>
    <w:p w14:paraId="65E1E4BD" w14:textId="77777777" w:rsidR="00C67836" w:rsidRDefault="00000000">
      <w:pPr>
        <w:pStyle w:val="ListParagraph"/>
        <w:numPr>
          <w:ilvl w:val="0"/>
          <w:numId w:val="1"/>
        </w:numPr>
        <w:spacing w:after="80"/>
      </w:pPr>
      <w:r>
        <w:t>Review the monthly pattern: activity rose from 98 in April to 213 in May and then fell by 17.4% to 176 in June. Investigate staffing, site access and operational scheduling before Q3 planning; seasonality cannot be concluded from one quarter alone.</w:t>
      </w:r>
    </w:p>
    <w:p w14:paraId="26111C4D" w14:textId="77777777" w:rsidR="00C67836" w:rsidRDefault="00000000">
      <w:pPr>
        <w:pStyle w:val="ListParagraph"/>
        <w:numPr>
          <w:ilvl w:val="0"/>
          <w:numId w:val="1"/>
        </w:numPr>
        <w:spacing w:after="80"/>
      </w:pPr>
      <w:r>
        <w:t>The rapid-positive result identified during follow-up demonstrates the value of continuity-of-care visits. However, that result remained unconfirmed because sample collection was declined and should not be reported as linked to treatment.</w:t>
      </w:r>
    </w:p>
    <w:p w14:paraId="79777030" w14:textId="77777777" w:rsidR="00C67836" w:rsidRDefault="00000000">
      <w:pPr>
        <w:pStyle w:val="ListParagraph"/>
        <w:numPr>
          <w:ilvl w:val="0"/>
          <w:numId w:val="1"/>
        </w:numPr>
        <w:spacing w:after="80"/>
      </w:pPr>
      <w:r>
        <w:t>Before submission, verify the 144-condom follow-up record against the source form and rerun the DataBridge quality assessment on the revised dataset.</w:t>
      </w:r>
    </w:p>
    <w:p w14:paraId="7617E6CF" w14:textId="77777777" w:rsidR="00C67836" w:rsidRDefault="00C67836">
      <w:pPr>
        <w:pBdr>
          <w:top w:val="single" w:sz="6" w:space="0" w:color="CCCCCC"/>
        </w:pBdr>
        <w:spacing w:before="400"/>
      </w:pPr>
    </w:p>
    <w:p w14:paraId="0DFE7954" w14:textId="49505B34" w:rsidR="00C67836" w:rsidRDefault="00000000"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Prepared from IDUs Database - </w:t>
      </w:r>
      <w:r w:rsidR="00E10971">
        <w:rPr>
          <w:i/>
          <w:iCs/>
          <w:color w:val="999999"/>
          <w:sz w:val="18"/>
          <w:szCs w:val="18"/>
        </w:rPr>
        <w:t xml:space="preserve">Befrienders </w:t>
      </w:r>
      <w:r>
        <w:rPr>
          <w:i/>
          <w:iCs/>
          <w:color w:val="999999"/>
          <w:sz w:val="18"/>
          <w:szCs w:val="18"/>
        </w:rPr>
        <w:t>- 2026 (revised source) | Validated 2026-07-08</w:t>
      </w:r>
    </w:p>
    <w:sectPr w:rsidR="00C67836">
      <w:headerReference w:type="default" r:id="rId12"/>
      <w:footerReference w:type="default" r:id="rId13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C110" w14:textId="77777777" w:rsidR="001B515F" w:rsidRDefault="001B515F">
      <w:r>
        <w:separator/>
      </w:r>
    </w:p>
  </w:endnote>
  <w:endnote w:type="continuationSeparator" w:id="0">
    <w:p w14:paraId="4A65C4CD" w14:textId="77777777" w:rsidR="001B515F" w:rsidRDefault="001B5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B2D9" w14:textId="77777777" w:rsidR="00C67836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C5DB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40177" w14:textId="77777777" w:rsidR="001B515F" w:rsidRDefault="001B515F">
      <w:r>
        <w:separator/>
      </w:r>
    </w:p>
  </w:footnote>
  <w:footnote w:type="continuationSeparator" w:id="0">
    <w:p w14:paraId="6054DE59" w14:textId="77777777" w:rsidR="001B515F" w:rsidRDefault="001B5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6B252" w14:textId="5458E8C4" w:rsidR="00C67836" w:rsidRDefault="00000000">
    <w:pPr>
      <w:jc w:val="right"/>
    </w:pPr>
    <w:r>
      <w:rPr>
        <w:color w:val="888888"/>
        <w:sz w:val="16"/>
        <w:szCs w:val="16"/>
      </w:rPr>
      <w:t>Be</w:t>
    </w:r>
    <w:r w:rsidR="00E10971">
      <w:rPr>
        <w:color w:val="888888"/>
        <w:sz w:val="16"/>
        <w:szCs w:val="16"/>
      </w:rPr>
      <w:t>f</w:t>
    </w:r>
    <w:r>
      <w:rPr>
        <w:color w:val="888888"/>
        <w:sz w:val="16"/>
        <w:szCs w:val="16"/>
      </w:rPr>
      <w:t>rienders Program — Q2 2026 Quarterly Report | UNDP / Global Fund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055"/>
    <w:multiLevelType w:val="multilevel"/>
    <w:tmpl w:val="DCC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911E1"/>
    <w:multiLevelType w:val="multilevel"/>
    <w:tmpl w:val="477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31BE1"/>
    <w:multiLevelType w:val="hybridMultilevel"/>
    <w:tmpl w:val="C0CC0D66"/>
    <w:lvl w:ilvl="0" w:tplc="52A619D8">
      <w:start w:val="1"/>
      <w:numFmt w:val="bullet"/>
      <w:lvlText w:val="●"/>
      <w:lvlJc w:val="left"/>
      <w:pPr>
        <w:ind w:left="720" w:hanging="360"/>
      </w:pPr>
    </w:lvl>
    <w:lvl w:ilvl="1" w:tplc="D7429A24">
      <w:start w:val="1"/>
      <w:numFmt w:val="bullet"/>
      <w:lvlText w:val="○"/>
      <w:lvlJc w:val="left"/>
      <w:pPr>
        <w:ind w:left="1440" w:hanging="360"/>
      </w:pPr>
    </w:lvl>
    <w:lvl w:ilvl="2" w:tplc="0772F438">
      <w:start w:val="1"/>
      <w:numFmt w:val="bullet"/>
      <w:lvlText w:val="■"/>
      <w:lvlJc w:val="left"/>
      <w:pPr>
        <w:ind w:left="2160" w:hanging="360"/>
      </w:pPr>
    </w:lvl>
    <w:lvl w:ilvl="3" w:tplc="BA8E9300">
      <w:start w:val="1"/>
      <w:numFmt w:val="bullet"/>
      <w:lvlText w:val="●"/>
      <w:lvlJc w:val="left"/>
      <w:pPr>
        <w:ind w:left="2880" w:hanging="360"/>
      </w:pPr>
    </w:lvl>
    <w:lvl w:ilvl="4" w:tplc="D6727FEE">
      <w:start w:val="1"/>
      <w:numFmt w:val="bullet"/>
      <w:lvlText w:val="○"/>
      <w:lvlJc w:val="left"/>
      <w:pPr>
        <w:ind w:left="3600" w:hanging="360"/>
      </w:pPr>
    </w:lvl>
    <w:lvl w:ilvl="5" w:tplc="2B56CFEC">
      <w:start w:val="1"/>
      <w:numFmt w:val="bullet"/>
      <w:lvlText w:val="■"/>
      <w:lvlJc w:val="left"/>
      <w:pPr>
        <w:ind w:left="4320" w:hanging="360"/>
      </w:pPr>
    </w:lvl>
    <w:lvl w:ilvl="6" w:tplc="16A4E57E">
      <w:start w:val="1"/>
      <w:numFmt w:val="bullet"/>
      <w:lvlText w:val="●"/>
      <w:lvlJc w:val="left"/>
      <w:pPr>
        <w:ind w:left="5040" w:hanging="360"/>
      </w:pPr>
    </w:lvl>
    <w:lvl w:ilvl="7" w:tplc="C7721C30">
      <w:start w:val="1"/>
      <w:numFmt w:val="bullet"/>
      <w:lvlText w:val="●"/>
      <w:lvlJc w:val="left"/>
      <w:pPr>
        <w:ind w:left="5760" w:hanging="360"/>
      </w:pPr>
    </w:lvl>
    <w:lvl w:ilvl="8" w:tplc="A72CE3D0">
      <w:start w:val="1"/>
      <w:numFmt w:val="bullet"/>
      <w:lvlText w:val="●"/>
      <w:lvlJc w:val="left"/>
      <w:pPr>
        <w:ind w:left="6480" w:hanging="360"/>
      </w:pPr>
    </w:lvl>
  </w:abstractNum>
  <w:num w:numId="1" w16cid:durableId="1977418348">
    <w:abstractNumId w:val="2"/>
    <w:lvlOverride w:ilvl="0">
      <w:startOverride w:val="1"/>
    </w:lvlOverride>
  </w:num>
  <w:num w:numId="2" w16cid:durableId="366029722">
    <w:abstractNumId w:val="1"/>
  </w:num>
  <w:num w:numId="3" w16cid:durableId="97224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836"/>
    <w:rsid w:val="0007190D"/>
    <w:rsid w:val="000D65E7"/>
    <w:rsid w:val="001B515F"/>
    <w:rsid w:val="0038480C"/>
    <w:rsid w:val="0072641D"/>
    <w:rsid w:val="007C5DBF"/>
    <w:rsid w:val="00922824"/>
    <w:rsid w:val="009819A7"/>
    <w:rsid w:val="00993495"/>
    <w:rsid w:val="00C67836"/>
    <w:rsid w:val="00E1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C59A2"/>
  <w15:docId w15:val="{F023F2F6-3BA4-4450-BACC-A539CE39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09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0971"/>
  </w:style>
  <w:style w:type="paragraph" w:styleId="Footer">
    <w:name w:val="footer"/>
    <w:basedOn w:val="Normal"/>
    <w:link w:val="FooterChar"/>
    <w:uiPriority w:val="99"/>
    <w:unhideWhenUsed/>
    <w:rsid w:val="00E109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971"/>
  </w:style>
  <w:style w:type="table" w:styleId="GridTable4-Accent4">
    <w:name w:val="Grid Table 4 Accent 4"/>
    <w:basedOn w:val="TableNormal"/>
    <w:uiPriority w:val="49"/>
    <w:rsid w:val="0072641D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1310</Words>
  <Characters>7655</Characters>
  <Application>Microsoft Office Word</Application>
  <DocSecurity>0</DocSecurity>
  <Lines>218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 Frienders Harm-Reduction Program - Q2 2026 Quarterly Report</vt:lpstr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Frienders Harm-Reduction Program - Q2 2026 Quarterly Report</dc:title>
  <dc:subject>Corrected and validated Q2 2026 M&amp;E report</dc:subject>
  <dc:creator>Un-named</dc:creator>
  <dc:description>Validated against the revised IDUs source workbook on 2026-07-08.</dc:description>
  <cp:lastModifiedBy>ahmed abd_elghaffar</cp:lastModifiedBy>
  <cp:revision>5</cp:revision>
  <dcterms:created xsi:type="dcterms:W3CDTF">2026-07-08T18:57:00Z</dcterms:created>
  <dcterms:modified xsi:type="dcterms:W3CDTF">2026-07-08T20:40:00Z</dcterms:modified>
</cp:coreProperties>
</file>