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 section 3.1, PULSE-SyRS-001, PULSE-SAF-001, PULSE-SEC-001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</w:tbl>
    <w:p>
      <w:pPr>
        <w:pStyle w:val="Heading1"/>
      </w:pPr>
      <w:bookmarkStart w:id="22" w:name="sprint-goal"/>
      <w:r>
        <w:t xml:space="preserve">1. Sprint goal</w:t>
      </w:r>
      <w:bookmarkEnd w:id="22"/>
    </w:p>
    <w:p>
      <w:pPr>
        <w:pStyle w:val="FirstParagraph"/>
      </w:pPr>
      <w:r>
        <w:t xml:space="preserve">Close work package 02: the signal layer and the Flutter cluster are verified on live broker data by an automated suite that runs before every demo, and the desk-only shortcuts that have a sprint 2 requirement attached are removed. The week 6 demo shows the same cluster as week 3, now with contract tests, degraded-state display, encrypted transport and pinned upstream versions behind it.</w:t>
      </w:r>
    </w:p>
    <w:p>
      <w:pPr>
        <w:pStyle w:val="Heading1"/>
      </w:pPr>
      <w:bookmarkStart w:id="23" w:name="capacity"/>
      <w:r>
        <w:t xml:space="preserve">2. Capacity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p>
      <w:pPr>
        <w:pStyle w:val="Heading1"/>
      </w:pPr>
      <w:bookmarkStart w:id="24" w:name="backlog"/>
      <w:r>
        <w:t xml:space="preserve">3. Backlog</w:t>
      </w:r>
      <w:bookmarkEnd w:id="24"/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.0"/>
        <w:tblLook w:firstRow="1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Pin the databroker image digest and the Flutter SDK version; record both in the README</w:t>
            </w:r>
          </w:p>
        </w:tc>
        <w:tc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p>
      <w:pPr>
        <w:pStyle w:val="Heading1"/>
      </w:pPr>
      <w:bookmarkStart w:id="25" w:name="out-of-scope-this-sprint"/>
      <w:r>
        <w:t xml:space="preserve">4. Out of scope this sprint</w:t>
      </w:r>
      <w:bookmarkEnd w:id="25"/>
    </w:p>
    <w:p>
      <w:pPr>
        <w:pStyle w:val="FirstParagraph"/>
      </w:pPr>
      <w:r>
        <w:t xml:space="preserve">Physical CAN hardware, the Raspberry Pi 5 baseline, per-client write authorisation (CS-4), security event logging (CS-7), the fail-visible renderer (SR-6) and the Autoware bridge (FR-22) stay in sprints 3 and 4 as planned in PULSE-StRS-001 section 3.1.</w:t>
      </w:r>
    </w:p>
    <w:p>
      <w:pPr>
        <w:pStyle w:val="Heading1"/>
      </w:pPr>
      <w:bookmarkStart w:id="26" w:name="risks-carried-into-the-sprint"/>
      <w:r>
        <w:t xml:space="preserve">5. Risks carried into the sprint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p>
      <w:pPr>
        <w:pStyle w:val="Heading1"/>
      </w:pPr>
      <w:bookmarkStart w:id="27" w:name="review-feedback-4-september"/>
      <w:r>
        <w:t xml:space="preserve">6. Review feedback, 4 September</w:t>
      </w:r>
      <w:bookmarkEnd w:id="27"/>
    </w:p>
    <w:p>
      <w:pPr>
        <w:pStyle w:val="FirstParagraph"/>
      </w:pPr>
      <w:r>
        <w:t xml:space="preserve">To be filled in during the sprint 1 review. Each comment gets a line here and, where it changes a requirement, a change-log row in the owning document.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1"/>
      </w:pPr>
      <w:bookmarkStart w:id="28" w:name="definition-of-done-for-the-week-6-gate"/>
      <w:r>
        <w:t xml:space="preserve">7. Definition of done for the week 6 gate</w:t>
      </w:r>
      <w:bookmarkEnd w:id="28"/>
    </w:p>
    <w:p>
      <w:pPr>
        <w:pStyle w:val="Compact"/>
        <w:numPr>
          <w:numId w:val="1001"/>
          <w:ilvl w:val="0"/>
        </w:numPr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The cluster shows degraded state within the freshness criterion when the broker is stopped, on both HMIs.</w:t>
      </w:r>
    </w:p>
    <w:p>
      <w:pPr>
        <w:pStyle w:val="Compact"/>
        <w:numPr>
          <w:numId w:val="1001"/>
          <w:ilvl w:val="0"/>
        </w:numPr>
      </w:pPr>
      <w:r>
        <w:t xml:space="preserve">Broker and all four clients run over mutual TLS; a plaintext start prints the warning.</w:t>
      </w:r>
    </w:p>
    <w:p>
      <w:pPr>
        <w:pStyle w:val="Compact"/>
        <w:numPr>
          <w:numId w:val="1001"/>
          <w:ilvl w:val="0"/>
        </w:numPr>
      </w:pPr>
      <w:r>
        <w:t xml:space="preserve">PULSE-SyRS-001, PULSE-SAF-001 and PULSE-SEC-001 status columns updated and PULSE-RTM-001 regenerated with zero dangling references.</w:t>
      </w:r>
    </w:p>
    <w:p>
      <w:pPr>
        <w:pStyle w:val="Compact"/>
        <w:numPr>
          <w:numId w:val="1001"/>
          <w:ilvl w:val="0"/>
        </w:numPr>
      </w:pPr>
      <w:r>
        <w:t xml:space="preserve">Demo rehearsed on the strip display and timed under five minutes.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2026-09-08T08:18:17Z</dcterms:created>
  <dcterms:modified xsi:type="dcterms:W3CDTF">2026-09-08T08:18:17Z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