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1.png" ContentType="image/png"/>
  <Override PartName="/word/media/rId41.png" ContentType="image/png"/>
  <Override PartName="/word/media/rId24.png" ContentType="image/png"/>
  <Override PartName="/word/media/rId39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Section 5.4 worked example now traces one road speed from the bus to the dial with real signal names and values. DD-10 closed: the databroker image is pinned by tag and digest. Glossary pointer added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Broker interface now TLS with token authorisation; DD-6 and DD-11 closed; DD-12 records token authentication in place of client certificates; broker access module and CAN feeder spike added to the component catalogue</w:t>
            </w:r>
          </w:p>
        </w:tc>
      </w:tr>
    </w:tbl>
    <w:p>
      <w:pPr>
        <w:pStyle w:val="Heading1"/>
      </w:pPr>
      <w:bookmarkStart w:id="22" w:name="purpose-and-scope"/>
      <w:r>
        <w:t xml:space="preserve">1. Purpose and scope</w:t>
      </w:r>
      <w:bookmarkEnd w:id="22"/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p>
      <w:pPr>
        <w:pStyle w:val="Heading1"/>
      </w:pPr>
      <w:bookmarkStart w:id="23" w:name="architectural-principle"/>
      <w:r>
        <w:t xml:space="preserve">2. Architectural principle</w:t>
      </w:r>
      <w:bookmarkEnd w:id="23"/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1" name="Picture"/>
            <a:graphic>
              <a:graphicData uri="http://schemas.openxmlformats.org/drawingml/2006/picture">
                <pic:pic>
                  <pic:nvPicPr>
                    <pic:cNvPr descr="diagrams/pulse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p>
      <w:pPr>
        <w:pStyle w:val="Heading1"/>
      </w:pPr>
      <w:bookmarkStart w:id="25" w:name="context"/>
      <w:r>
        <w:t xml:space="preserve">3. Context</w:t>
      </w:r>
      <w:bookmarkEnd w:id="25"/>
    </w:p>
    <w:p>
      <w:pPr>
        <w:pStyle w:val="Heading2"/>
      </w:pPr>
      <w:bookmarkStart w:id="26" w:name="system-boundary"/>
      <w:r>
        <w:t xml:space="preserve">3.1 System boundary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p>
      <w:pPr>
        <w:pStyle w:val="Heading2"/>
      </w:pPr>
      <w:bookmarkStart w:id="27" w:name="external-interfaces"/>
      <w:r>
        <w:t xml:space="preserve">3.2 External interfaces</w:t>
      </w:r>
      <w:bookmarkEnd w:id="27"/>
    </w:p>
    <w:tbl>
      <w:tblPr>
        <w:tblStyle w:val="Table"/>
        <w:tblW w:type="pct" w:w="5000.0"/>
        <w:tblLook w:firstRow="1"/>
      </w:tblPr>
      <w:tblGrid>
        <w:gridCol w:w="1108"/>
        <w:gridCol w:w="792"/>
        <w:gridCol w:w="3009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p>
      <w:pPr>
        <w:pStyle w:val="Heading1"/>
      </w:pPr>
      <w:bookmarkStart w:id="28" w:name="components"/>
      <w:r>
        <w:t xml:space="preserve">4. Components</w:t>
      </w:r>
      <w:bookmarkEnd w:id="28"/>
    </w:p>
    <w:p>
      <w:pPr>
        <w:pStyle w:val="Heading2"/>
      </w:pPr>
      <w:bookmarkStart w:id="29" w:name="component-catalogue"/>
      <w:r>
        <w:t xml:space="preserve">4.1 Component catalogue</w:t>
      </w:r>
      <w:bookmarkEnd w:id="29"/>
    </w:p>
    <w:tbl>
      <w:tblPr>
        <w:tblStyle w:val="Table"/>
        <w:tblW w:type="pct" w:w="5000.0"/>
        <w:tblLook w:firstRow="1"/>
      </w:tblPr>
      <w:tblGrid>
        <w:gridCol w:w="1108"/>
        <w:gridCol w:w="2217"/>
        <w:gridCol w:w="2217"/>
        <w:gridCol w:w="1267"/>
        <w:gridCol w:w="110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Broker access</w:t>
            </w:r>
          </w:p>
        </w:tc>
        <w:tc>
          <w:p>
            <w:pPr>
              <w:pStyle w:val="Compact"/>
              <w:jc w:val="left"/>
            </w:pPr>
            <w:r>
              <w:t xml:space="preserve">One module every Python client connects through: TLS, its role’s token, or plaintext on request</w:t>
            </w:r>
          </w:p>
        </w:tc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emulator/broker.py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p>
            <w:pPr>
              <w:pStyle w:val="Compact"/>
              <w:jc w:val="left"/>
            </w:pPr>
            <w:r>
              <w:t xml:space="preserve">KUKSA’s CAN provider on a virtual bus with AGL’s DBC; the sprint 3 path proven on the desk</w:t>
            </w:r>
          </w:p>
        </w:tc>
        <w:tc>
          <w:p>
            <w:pPr>
              <w:pStyle w:val="Compact"/>
              <w:jc w:val="left"/>
            </w:pPr>
            <w:r>
              <w:t xml:space="preserve">Container, Python</w:t>
            </w:r>
          </w:p>
        </w:tc>
        <w:tc>
          <w:p>
            <w:pPr>
              <w:pStyle w:val="Compact"/>
              <w:jc w:val="left"/>
            </w:pPr>
            <w:r>
              <w:t xml:space="preserve">Upstream (provider), authored (spike)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vss/dbc/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p>
      <w:pPr>
        <w:pStyle w:val="Heading2"/>
      </w:pPr>
      <w:bookmarkStart w:id="30" w:name="layering"/>
      <w:r>
        <w:t xml:space="preserve">4.2 Layering</w:t>
      </w:r>
      <w:bookmarkEnd w:id="30"/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1" name="Picture"/>
            <a:graphic>
              <a:graphicData uri="http://schemas.openxmlformats.org/drawingml/2006/picture">
                <pic:pic>
                  <pic:nvPicPr>
                    <pic:cNvPr descr="diagrams/layer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267"/>
        <w:gridCol w:w="4593"/>
        <w:gridCol w:w="20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p>
      <w:pPr>
        <w:pStyle w:val="Heading1"/>
      </w:pPr>
      <w:bookmarkStart w:id="32" w:name="interfaces"/>
      <w:r>
        <w:t xml:space="preserve">5. Interfaces</w:t>
      </w:r>
      <w:bookmarkEnd w:id="32"/>
    </w:p>
    <w:p>
      <w:pPr>
        <w:pStyle w:val="Heading2"/>
      </w:pPr>
      <w:bookmarkStart w:id="33" w:name="broker-interface"/>
      <w:r>
        <w:t xml:space="preserve">5.1 Broker interface</w:t>
      </w:r>
      <w:bookmarkEnd w:id="33"/>
    </w:p>
    <w:tbl>
      <w:tblPr>
        <w:tblStyle w:val="Table"/>
        <w:tblW w:type="pct" w:w="5000.0"/>
        <w:tblLook w:firstRow="1"/>
      </w:tblPr>
      <w:tblGrid>
        <w:gridCol w:w="1742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p>
            <w:pPr>
              <w:pStyle w:val="Compact"/>
              <w:jc w:val="left"/>
            </w:pPr>
            <w:r>
              <w:t xml:space="preserve">TLS to a development certificate by default;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 </w:t>
            </w:r>
            <w:r>
              <w:t xml:space="preserve">and a warning (PULSE-SEC-001 CS-3)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p>
            <w:pPr>
              <w:pStyle w:val="Compact"/>
              <w:jc w:val="left"/>
            </w:pPr>
            <w:r>
              <w:t xml:space="preserve">Signed token per client, scoped: consumers read, providers provide their own signals (PULSE-SEC-001 CS-4, DD-12)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p>
      <w:pPr>
        <w:pStyle w:val="Heading2"/>
      </w:pPr>
      <w:bookmarkStart w:id="34" w:name="publish-rates"/>
      <w:r>
        <w:t xml:space="preserve">5.2 Publish rates</w:t>
      </w:r>
      <w:bookmarkEnd w:id="34"/>
    </w:p>
    <w:tbl>
      <w:tblPr>
        <w:tblStyle w:val="Table"/>
        <w:tblW w:type="pct" w:w="5000.0"/>
        <w:tblLook w:firstRow="1"/>
      </w:tblPr>
      <w:tblGrid>
        <w:gridCol w:w="1900"/>
        <w:gridCol w:w="4435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p>
      <w:pPr>
        <w:pStyle w:val="Heading2"/>
      </w:pPr>
      <w:bookmarkStart w:id="35" w:name="signal-contract"/>
      <w:r>
        <w:t xml:space="preserve">5.3 Signal contract</w:t>
      </w:r>
      <w:bookmarkEnd w:id="35"/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p>
      <w:pPr>
        <w:pStyle w:val="Heading2"/>
      </w:pPr>
      <w:bookmarkStart w:id="36" w:name="worked-example-one-signal-bottom-to-top"/>
      <w:r>
        <w:t xml:space="preserve">5.4 Worked example: one signal, bottom to top</w:t>
      </w:r>
      <w:bookmarkEnd w:id="36"/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.0"/>
        <w:tblLook w:firstRow="1"/>
      </w:tblPr>
      <w:tblGrid>
        <w:gridCol w:w="465"/>
        <w:gridCol w:w="4658"/>
        <w:gridCol w:w="279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1" name="Picture"/>
            <a:graphic>
              <a:graphicData uri="http://schemas.openxmlformats.org/drawingml/2006/picture">
                <pic:pic>
                  <pic:nvPicPr>
                    <pic:cNvPr descr="diagrams/signal-pa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p>
      <w:pPr>
        <w:pStyle w:val="Heading1"/>
      </w:pPr>
      <w:bookmarkStart w:id="38" w:name="runtime-view"/>
      <w:r>
        <w:t xml:space="preserve">6. Runtime view</w:t>
      </w:r>
      <w:bookmarkEnd w:id="38"/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1" name="Picture"/>
            <a:graphic>
              <a:graphicData uri="http://schemas.openxmlformats.org/drawingml/2006/picture">
                <pic:pic>
                  <pic:nvPicPr>
                    <pic:cNvPr descr="diagrams/runtime-lo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633"/>
        <w:gridCol w:w="1108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p>
      <w:pPr>
        <w:pStyle w:val="Heading2"/>
      </w:pPr>
      <w:bookmarkStart w:id="40" w:name="minimum-risk-manoeuvre-state-machine"/>
      <w:r>
        <w:t xml:space="preserve">6.1 Minimum-risk manoeuvre state machine</w:t>
      </w:r>
      <w:bookmarkEnd w:id="40"/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1" name="Picture"/>
            <a:graphic>
              <a:graphicData uri="http://schemas.openxmlformats.org/drawingml/2006/picture">
                <pic:pic>
                  <pic:nvPicPr>
                    <pic:cNvPr descr="diagrams/mrm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108"/>
        <w:gridCol w:w="3168"/>
        <w:gridCol w:w="364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p>
      <w:pPr>
        <w:pStyle w:val="Heading1"/>
      </w:pPr>
      <w:bookmarkStart w:id="42" w:name="deployment-view"/>
      <w:r>
        <w:t xml:space="preserve">7. Deployment view</w:t>
      </w:r>
      <w:bookmarkEnd w:id="42"/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1" name="Picture"/>
            <a:graphic>
              <a:graphicData uri="http://schemas.openxmlformats.org/drawingml/2006/picture">
                <pic:pic>
                  <pic:nvPicPr>
                    <pic:cNvPr descr="diagrams/deploy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p>
      <w:pPr>
        <w:pStyle w:val="Heading2"/>
      </w:pPr>
      <w:bookmarkStart w:id="44" w:name="desk-rig-week-3"/>
      <w:r>
        <w:t xml:space="preserve">7.1 Desk rig, week 3</w:t>
      </w:r>
      <w:bookmarkEnd w:id="44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p>
      <w:pPr>
        <w:pStyle w:val="Heading2"/>
      </w:pPr>
      <w:bookmarkStart w:id="45" w:name="target-rig-sprint-3"/>
      <w:r>
        <w:t xml:space="preserve">7.2 Target rig, sprint 3</w:t>
      </w:r>
      <w:bookmarkEnd w:id="45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/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p>
      <w:pPr>
        <w:pStyle w:val="Heading1"/>
      </w:pPr>
      <w:bookmarkStart w:id="46" w:name="design-decisions-and-deviations"/>
      <w:r>
        <w:t xml:space="preserve">8. Design decisions and deviations</w:t>
      </w:r>
      <w:bookmarkEnd w:id="46"/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.0"/>
        <w:tblLook w:firstRow="1"/>
      </w:tblPr>
      <w:tblGrid>
        <w:gridCol w:w="475"/>
        <w:gridCol w:w="2217"/>
        <w:gridCol w:w="2217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p>
            <w:pPr>
              <w:pStyle w:val="Compact"/>
              <w:jc w:val="left"/>
            </w:pPr>
            <w:r>
              <w:t xml:space="preserve">Closed in sprint 2: secure by default, plaintext only on request with a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Closed in sprint 2: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 enforced by the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DD-12</w:t>
            </w:r>
          </w:p>
        </w:tc>
        <w:tc>
          <w:p>
            <w:pPr>
              <w:pStyle w:val="Compact"/>
              <w:jc w:val="left"/>
            </w:pPr>
            <w:r>
              <w:t xml:space="preserve">Clients authenticate with a signed token over TLS, not a client certificate</w:t>
            </w:r>
          </w:p>
        </w:tc>
        <w:tc>
          <w:p>
            <w:pPr>
              <w:pStyle w:val="Compact"/>
              <w:jc w:val="left"/>
            </w:pPr>
            <w:r>
              <w:t xml:space="preserve">KUKSA 0.7.0 cannot verify client certificates</w:t>
            </w:r>
          </w:p>
        </w:tc>
        <w:tc>
          <w:p>
            <w:pPr>
              <w:pStyle w:val="Compact"/>
              <w:jc w:val="left"/>
            </w:pPr>
            <w:r>
              <w:t xml:space="preserve">Meets CS-3’s goal by a different mechanism; the requirement text or the broker changes later. See PULSE-SEC-001 section 5</w:t>
            </w:r>
          </w:p>
        </w:tc>
      </w:tr>
    </w:tbl>
    <w:p>
      <w:pPr>
        <w:pStyle w:val="Heading1"/>
      </w:pPr>
      <w:bookmarkStart w:id="47" w:name="verification-approach"/>
      <w:r>
        <w:t xml:space="preserve">9. Verification approach</w:t>
      </w:r>
      <w:bookmarkEnd w:id="47"/>
    </w:p>
    <w:tbl>
      <w:tblPr>
        <w:tblStyle w:val="Table"/>
        <w:tblW w:type="pct" w:w="5000.0"/>
        <w:tblLook w:firstRow="1"/>
      </w:tblPr>
      <w:tblGrid>
        <w:gridCol w:w="1584"/>
        <w:gridCol w:w="4356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p>
      <w:pPr>
        <w:pStyle w:val="Heading1"/>
      </w:pPr>
      <w:bookmarkStart w:id="48" w:name="appendix-a.-signal-contract"/>
      <w:r>
        <w:t xml:space="preserve">Appendix A. Signal contract</w:t>
      </w:r>
      <w:bookmarkEnd w:id="48"/>
    </w:p>
    <w:p>
      <w:pPr>
        <w:pStyle w:val="Heading2"/>
      </w:pPr>
      <w:bookmarkStart w:id="49" w:name="a.1-signals-consumed-by-the-hmis"/>
      <w:r>
        <w:t xml:space="preserve">A.1 Signals consumed by the HMIs</w:t>
      </w:r>
      <w:bookmarkEnd w:id="49"/>
    </w:p>
    <w:tbl>
      <w:tblPr>
        <w:tblStyle w:val="Table"/>
        <w:tblW w:type="pct" w:w="5000.0"/>
        <w:tblLook w:firstRow="1"/>
      </w:tblPr>
      <w:tblGrid>
        <w:gridCol w:w="3168"/>
        <w:gridCol w:w="792"/>
        <w:gridCol w:w="633"/>
        <w:gridCol w:w="1108"/>
        <w:gridCol w:w="221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p>
      <w:pPr>
        <w:pStyle w:val="Heading2"/>
      </w:pPr>
      <w:bookmarkStart w:id="50" w:name="a.2-overlay-files"/>
      <w:r>
        <w:t xml:space="preserve">A.2 Overlay files</w:t>
      </w:r>
      <w:bookmarkEnd w:id="50"/>
    </w:p>
    <w:tbl>
      <w:tblPr>
        <w:tblStyle w:val="Table"/>
        <w:tblW w:type="pct" w:w="5000.0"/>
        <w:tblLook w:firstRow="1"/>
      </w:tblPr>
      <w:tblGrid>
        <w:gridCol w:w="2217"/>
        <w:gridCol w:w="3801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p>
      <w:pPr>
        <w:pStyle w:val="Heading2"/>
      </w:pPr>
      <w:bookmarkStart w:id="51" w:name="a.3-regeneration"/>
      <w:r>
        <w:t xml:space="preserve">A.3 Regeneration</w:t>
      </w:r>
      <w:bookmarkEnd w:id="51"/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7" Target="media/rId3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2026-09-23T11:28:57Z</dcterms:created>
  <dcterms:modified xsi:type="dcterms:W3CDTF">2026-09-23T11:28:57Z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