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2026-09-11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p>
            <w:pPr>
              <w:pStyle w:val="Compact"/>
              <w:jc w:val="left"/>
            </w:pPr>
            <w:r>
              <w:t xml:space="preserve">2026-09-11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p>
      <w:pPr>
        <w:pStyle w:val="Heading1"/>
      </w:pPr>
      <w:bookmarkStart w:id="21" w:name="status-summary"/>
      <w:r>
        <w:t xml:space="preserve">1. Status summary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p>
      <w:pPr>
        <w:pStyle w:val="Heading1"/>
      </w:pPr>
      <w:bookmarkStart w:id="22" w:name="Xff4f6f80ae2dffbeedf3f83d5dff29154392849"/>
      <w:r>
        <w:t xml:space="preserve">2. Stakeholder needs to stories to requirements</w:t>
      </w:r>
      <w:bookmarkEnd w:id="22"/>
    </w:p>
    <w:tbl>
      <w:tblPr>
        <w:tblStyle w:val="Table"/>
        <w:tblW w:type="pct" w:w="5000.0"/>
        <w:tblLook w:firstRow="1"/>
      </w:tblPr>
      <w:tblGrid>
        <w:gridCol w:w="475"/>
        <w:gridCol w:w="3484"/>
        <w:gridCol w:w="1425"/>
        <w:gridCol w:w="253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p>
      <w:pPr>
        <w:pStyle w:val="Heading1"/>
      </w:pPr>
      <w:bookmarkStart w:id="23" w:name="X5f87578be86f8e069cb58cbe4e0b01e78c6139f"/>
      <w:r>
        <w:t xml:space="preserve">3. Requirement to story, verification, status and evidence</w:t>
      </w:r>
      <w:bookmarkEnd w:id="23"/>
    </w:p>
    <w:p>
      <w:pPr>
        <w:pStyle w:val="Heading2"/>
      </w:pPr>
      <w:bookmarkStart w:id="24" w:name="functional-fr-owner-pulse-syrs-001"/>
      <w:r>
        <w:t xml:space="preserve">3.1 Functional (FR), owner PULSE-SyRS-001</w:t>
      </w:r>
      <w:bookmarkEnd w:id="24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README</w:t>
            </w:r>
            <w:r>
              <w:t xml:space="preserve"> </w:t>
            </w:r>
            <w:r>
              <w:t xml:space="preserve">“</w:t>
            </w:r>
            <w:r>
              <w:t xml:space="preserve">Regenerate the VSS JSON</w:t>
            </w:r>
            <w:r>
              <w:t xml:space="preserve">”</w:t>
            </w:r>
            <w:r>
              <w:t xml:space="preserve">; byte-identical regeneration checked by the regression suite (</w:t>
            </w:r>
            <w:r>
              <w:rPr>
                <w:rStyle w:val="VerbatimChar"/>
              </w:rPr>
              <w:t xml:space="preserve">vss-regeneration</w:t>
            </w:r>
            <w:r>
              <w:t xml:space="preserve">),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Met by design (HMIs subscribe to VSS paths only); verified when the virtual CAN feeder replaces the simulator in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broker and protocol for both. Signal sets have diverged: Flutter subscribes to 28 paths, Compose to 17. The nine extra are the driver-monitoring and…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p>
      <w:pPr>
        <w:pStyle w:val="Heading2"/>
      </w:pPr>
      <w:bookmarkStart w:id="25" w:name="interface-ir-owner-pulse-syrs-001"/>
      <w:r>
        <w:t xml:space="preserve">3.2 Interface (IR), owner PULSE-SyRS-001</w:t>
      </w:r>
      <w:bookmarkEnd w:id="25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set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documented as a deviation in PULSE-SEC-001 section 5. Start-up warning (CS-3) planned S2</w:t>
            </w:r>
          </w:p>
        </w:tc>
      </w:tr>
    </w:tbl>
    <w:p>
      <w:pPr>
        <w:pStyle w:val="Heading2"/>
      </w:pPr>
      <w:bookmarkStart w:id="26" w:name="non-functional-nfr-owner-pulse-syrs-001"/>
      <w:r>
        <w:t xml:space="preserve">3.3 Non-functional (NFR), owner PULSE-SyRS-001</w:t>
      </w:r>
      <w:bookmarkEnd w:id="26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Clean-machine bring-up performed 2026-08-18 and recorded in ONBOARDING.md, six blockers closed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 pinned to</w:t>
            </w:r>
            <w:r>
              <w:t xml:space="preserve"> </w:t>
            </w:r>
            <w:r>
              <w:rPr>
                <w:rStyle w:val="VerbatimChar"/>
              </w:rPr>
              <w:t xml:space="preserve">0.7.0</w:t>
            </w:r>
            <w:r>
              <w:t xml:space="preserve"> </w:t>
            </w:r>
            <w:r>
              <w:t xml:space="preserve">by tag and digest;</w:t>
            </w:r>
            <w:r>
              <w:t xml:space="preserve"> </w:t>
            </w:r>
            <w:r>
              <w:rPr>
                <w:rStyle w:val="VerbatimChar"/>
              </w:rPr>
              <w:t xml:space="preserve">kuksa-client==0.5.2</w:t>
            </w:r>
            <w:r>
              <w:t xml:space="preserve"> </w:t>
            </w:r>
            <w:r>
              <w:t xml:space="preserve">and Python deps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; VSS at v6.0; Dart deps in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. Remaining…</w:t>
            </w:r>
          </w:p>
        </w:tc>
      </w:tr>
    </w:tbl>
    <w:p>
      <w:pPr>
        <w:pStyle w:val="Heading2"/>
      </w:pPr>
      <w:bookmarkStart w:id="27" w:name="functional-safety-sr-owner-pulse-saf-001"/>
      <w:r>
        <w:t xml:space="preserve">3.4 Functional safety (SR), owner PULSE-SAF-001</w:t>
      </w:r>
      <w:bookmarkEnd w:id="27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SM-1; Flutter service reconnects but shows last value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Criteria proposed in section 3; enforcement with SM-1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PULSE-RTM-001 generated from this table; regression suite runs before each demo and commits its report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safety-specific tests (SR-4 to…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Heading2"/>
      </w:pPr>
      <w:bookmarkStart w:id="28" w:name="cybersecurity-cs-owner-pulse-sec-001"/>
      <w:r>
        <w:t xml:space="preserve">3.5 Cybersecurity (CS), owner PULSE-SEC-001</w:t>
      </w:r>
      <w:bookmarkEnd w:id="28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Section 5;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Broker-side validation implemented by KUKSA; HMI-side check and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 and writes no files;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Python, Dart and the broker image pinned. No SBOM yet.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 </w:t>
            </w:r>
            <w:r>
              <w:t xml:space="preserve">scans every tracked file for key and credential patterns; passing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Suite exists (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) with range and secret checks for CS-5 and CS-9; CS-6 and CS-8 checks join in S2</w:t>
            </w:r>
          </w:p>
        </w:tc>
      </w:tr>
    </w:tbl>
    <w:p>
      <w:pPr>
        <w:pStyle w:val="Heading1"/>
      </w:pPr>
      <w:bookmarkStart w:id="29" w:name="story-to-requirements"/>
      <w:r>
        <w:t xml:space="preserve">4. Story to requirements</w:t>
      </w:r>
      <w:bookmarkEnd w:id="29"/>
    </w:p>
    <w:tbl>
      <w:tblPr>
        <w:tblStyle w:val="Table"/>
        <w:tblW w:type="pct" w:w="4999.999999999999"/>
        <w:tblLook w:firstRow="1"/>
      </w:tblPr>
      <w:tblGrid>
        <w:gridCol w:w="528"/>
        <w:gridCol w:w="3520"/>
        <w:gridCol w:w="1056"/>
        <w:gridCol w:w="1760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Heading1"/>
      </w:pPr>
      <w:bookmarkStart w:id="30" w:name="requirements-not-reached-by-a-user-story"/>
      <w:r>
        <w:t xml:space="preserve">5. Requirements not reached by a user story</w:t>
      </w:r>
      <w:bookmarkEnd w:id="30"/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.0"/>
        <w:tblLook w:firstRow="1"/>
      </w:tblPr>
      <w:tblGrid>
        <w:gridCol w:w="552"/>
        <w:gridCol w:w="4973"/>
        <w:gridCol w:w="1289"/>
        <w:gridCol w:w="11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pPr>
        <w:pStyle w:val="Heading1"/>
      </w:pPr>
      <w:bookmarkStart w:id="31" w:name="consistency"/>
      <w:r>
        <w:t xml:space="preserve">6. Consistency</w:t>
      </w:r>
      <w:bookmarkEnd w:id="31"/>
    </w:p>
    <w:p>
      <w:pPr>
        <w:pStyle w:val="FirstParagraph"/>
      </w:pPr>
      <w:r>
        <w:t xml:space="preserve">Needs: 7. Stories: 17. Requirements: 57. Dangling references: 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2026-09-11T07:20:01Z</dcterms:created>
  <dcterms:modified xsi:type="dcterms:W3CDTF">2026-09-11T07:20:01Z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