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Requirements</w:t>
      </w:r>
      <w:r>
        <w:t xml:space="preserve"> </w:t>
      </w:r>
      <w:r>
        <w:t xml:space="preserve">Traceability</w:t>
      </w:r>
      <w:r>
        <w:t xml:space="preserve"> </w:t>
      </w:r>
      <w:r>
        <w:t xml:space="preserve">Matrix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by</w:t>
      </w:r>
      <w:r>
        <w:t xml:space="preserve"> </w:t>
      </w:r>
      <w:r>
        <w:t xml:space="preserve">scripts/gen_rtm.py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PULSE-RTM-001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Requirements Traceability Matrix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p>
            <w:pPr>
              <w:pStyle w:val="Compact"/>
              <w:jc w:val="left"/>
            </w:pPr>
            <w:r>
              <w:t xml:space="preserve">2026-09-08 by</w:t>
            </w:r>
            <w:r>
              <w:t xml:space="preserve"> </w:t>
            </w:r>
            <w:r>
              <w:rPr>
                <w:rStyle w:val="VerbatimChar"/>
              </w:rPr>
              <w:t xml:space="preserve">scripts/gen_rtm.py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Derived; regenerate, never hand-edit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PULSE-SyRS-001, PULSE-SAD-001, PULSE-SAF-001, PULSE-SEC-001</w:t>
            </w:r>
          </w:p>
        </w:tc>
      </w:tr>
    </w:tbl>
    <w:p>
      <w:pPr>
        <w:pStyle w:val="BodyText"/>
      </w:pPr>
      <w:r>
        <w:t xml:space="preserve">This matrix is produced from the ID tables in the source documents. A requirement’s status, verification method and evidence are copied from its owning document. A story’s trace list is the only link authored by hand. Dangling references fail the generator, so a matrix that exists is a matrix that is consistent.</w:t>
      </w:r>
    </w:p>
    <w:p>
      <w:pPr>
        <w:pStyle w:val="Heading1"/>
      </w:pPr>
      <w:bookmarkStart w:id="21" w:name="status-summary"/>
      <w:r>
        <w:t xml:space="preserve">1. Status summary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(FR)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 (IR)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Non-functional (NFR)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safety (SR)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Cybersecurity (CS)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Coverage: 36 of 57 requirements are reached by at least one user story; 21 are traced only through their owning document (listed in section 5).</w:t>
      </w:r>
    </w:p>
    <w:p>
      <w:pPr>
        <w:pStyle w:val="Heading1"/>
      </w:pPr>
      <w:bookmarkStart w:id="22" w:name="Xff4f6f80ae2dffbeedf3f83d5dff29154392849"/>
      <w:r>
        <w:t xml:space="preserve">2. Stakeholder needs to stories to requirements</w:t>
      </w:r>
      <w:bookmarkEnd w:id="22"/>
    </w:p>
    <w:tbl>
      <w:tblPr>
        <w:tblStyle w:val="Table"/>
        <w:tblW w:type="pct" w:w="5000.0"/>
        <w:tblLook w:firstRow="1"/>
      </w:tblPr>
      <w:tblGrid>
        <w:gridCol w:w="475"/>
        <w:gridCol w:w="3484"/>
        <w:gridCol w:w="1425"/>
        <w:gridCol w:w="253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Requirements reached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Decide the cluster toolkit on measured evidence, with application cost separated from platform cost</w:t>
            </w:r>
          </w:p>
        </w:tc>
        <w:tc>
          <w:p>
            <w:pPr>
              <w:pStyle w:val="Compact"/>
              <w:jc w:val="left"/>
            </w:pPr>
            <w:r>
              <w:t xml:space="preserve">US-5, US-8, US-10</w:t>
            </w:r>
          </w:p>
        </w:tc>
        <w:tc>
          <w:p>
            <w:pPr>
              <w:pStyle w:val="Compact"/>
              <w:jc w:val="left"/>
            </w:pPr>
            <w:r>
              <w:t xml:space="preserve">FR-7, FR-12, FR-13, FR-15, FR-16, FR-17, NFR-3, NFR-7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p>
            <w:pPr>
              <w:pStyle w:val="Compact"/>
              <w:jc w:val="left"/>
            </w:pPr>
            <w:r>
              <w:t xml:space="preserve">Build in-house competence in the hybrid cockpit pattern: one broker, a Linux cluster, an Android surface</w:t>
            </w:r>
          </w:p>
        </w:tc>
        <w:tc>
          <w:p>
            <w:pPr>
              <w:pStyle w:val="Compact"/>
              <w:jc w:val="left"/>
            </w:pPr>
            <w:r>
              <w:t xml:space="preserve">US-2, US-8</w:t>
            </w:r>
          </w:p>
        </w:tc>
        <w:tc>
          <w:p>
            <w:pPr>
              <w:pStyle w:val="Compact"/>
              <w:jc w:val="left"/>
            </w:pPr>
            <w:r>
              <w:t xml:space="preserve">FR-2, FR-3, FR-12, FR-13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An HMI decoupled from the vehicle bus so a platform change does not restart HMI work</w:t>
            </w:r>
          </w:p>
        </w:tc>
        <w:tc>
          <w:p>
            <w:pPr>
              <w:pStyle w:val="Compact"/>
              <w:jc w:val="left"/>
            </w:pPr>
            <w:r>
              <w:t xml:space="preserve">US-1, US-3</w:t>
            </w:r>
          </w:p>
        </w:tc>
        <w:tc>
          <w:p>
            <w:pPr>
              <w:pStyle w:val="Compact"/>
              <w:jc w:val="left"/>
            </w:pPr>
            <w:r>
              <w:t xml:space="preserve">FR-1, FR-5, FR-8, FR-11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A demonstrator presentable to a non-technical audience in under five minutes</w:t>
            </w:r>
          </w:p>
        </w:tc>
        <w:tc>
          <w:p>
            <w:pPr>
              <w:pStyle w:val="Compact"/>
              <w:jc w:val="left"/>
            </w:pPr>
            <w:r>
              <w:t xml:space="preserve">US-4, US-6, US-7, US-9</w:t>
            </w:r>
          </w:p>
        </w:tc>
        <w:tc>
          <w:p>
            <w:pPr>
              <w:pStyle w:val="Compact"/>
              <w:jc w:val="left"/>
            </w:pPr>
            <w:r>
              <w:t xml:space="preserve">FR-6, FR-9, FR-10, FR-14, IR-3, IR-4, NFR-2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p>
            <w:pPr>
              <w:pStyle w:val="Compact"/>
              <w:jc w:val="left"/>
            </w:pPr>
            <w:r>
              <w:t xml:space="preserve">Competence that outlives the project: a new engineer brings the stack up from documentation alone</w:t>
            </w:r>
          </w:p>
        </w:tc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Compliance readiness: the safety and security artefacts a production programme would ask for, produced while building rather than retrofitted</w:t>
            </w:r>
          </w:p>
        </w:tc>
        <w:tc>
          <w:p>
            <w:pPr>
              <w:pStyle w:val="Compact"/>
              <w:jc w:val="left"/>
            </w:pPr>
            <w:r>
              <w:t xml:space="preserve">US-14, US-15, US-16, US-17</w:t>
            </w:r>
          </w:p>
        </w:tc>
        <w:tc>
          <w:p>
            <w:pPr>
              <w:pStyle w:val="Compact"/>
              <w:jc w:val="left"/>
            </w:pPr>
            <w:r>
              <w:t xml:space="preserve">CS-1, CS-2, CS-3, CS-6, SR-1, SR-2, SR-3, SR-9, SR-11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A closed loop, not a dashboard light: perception feeds a vehicle reaction through the same signal path the cluster renders</w:t>
            </w:r>
          </w:p>
        </w:tc>
        <w:tc>
          <w:p>
            <w:pPr>
              <w:pStyle w:val="Compact"/>
              <w:jc w:val="left"/>
            </w:pPr>
            <w:r>
              <w:t xml:space="preserve">US-12, US-13</w:t>
            </w:r>
          </w:p>
        </w:tc>
        <w:tc>
          <w:p>
            <w:pPr>
              <w:pStyle w:val="Compact"/>
              <w:jc w:val="left"/>
            </w:pPr>
            <w:r>
              <w:t xml:space="preserve">FR-18, FR-19, FR-20, FR-21, SR-7</w:t>
            </w:r>
          </w:p>
        </w:tc>
      </w:tr>
    </w:tbl>
    <w:p>
      <w:pPr>
        <w:pStyle w:val="Heading1"/>
      </w:pPr>
      <w:bookmarkStart w:id="23" w:name="X5f87578be86f8e069cb58cbe4e0b01e78c6139f"/>
      <w:r>
        <w:t xml:space="preserve">3. Requirement to story, verification, status and evidence</w:t>
      </w:r>
      <w:bookmarkEnd w:id="23"/>
    </w:p>
    <w:p>
      <w:pPr>
        <w:pStyle w:val="Heading2"/>
      </w:pPr>
      <w:bookmarkStart w:id="24" w:name="functional-fr-owner-pulse-syrs-001"/>
      <w:r>
        <w:t xml:space="preserve">3.1 Functional (FR), owner PULSE-SyRS-001</w:t>
      </w:r>
      <w:bookmarkEnd w:id="24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represent all vehicle data using an open, standardised signal catalogue (COVESA VSS), not proprietary or bus-specific identifiers.</w:t>
            </w:r>
          </w:p>
        </w:tc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vss/vss_agl.json</w:t>
            </w:r>
            <w:r>
              <w:t xml:space="preserve"> </w:t>
            </w:r>
            <w:r>
              <w:t xml:space="preserve">compiled from VSS 6.0; 1,302 leaf signals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extend the standard catalogue for domain-specific signals using the standard overlay mechanism only, with no forks of the upstream specification.</w:t>
            </w:r>
          </w:p>
        </w:tc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vss/pulse_vss_overlay.vspec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vss/dms_vss_overlay.vspec</w:t>
            </w:r>
            <w:r>
              <w:t xml:space="preserve">; upstream spec consumed unmodified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p>
            <w:pPr>
              <w:pStyle w:val="Compact"/>
              <w:jc w:val="left"/>
            </w:pPr>
            <w:r>
              <w:t xml:space="preserve">The compiled signal tree shall be reproducible from versioned source files by a documented command.</w:t>
            </w:r>
          </w:p>
        </w:tc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README</w:t>
            </w:r>
            <w:r>
              <w:t xml:space="preserve"> </w:t>
            </w:r>
            <w:r>
              <w:t xml:space="preserve">“</w:t>
            </w:r>
            <w:r>
              <w:t xml:space="preserve">Regenerate the VSS JSON</w:t>
            </w:r>
            <w:r>
              <w:t xml:space="preserve">”</w:t>
            </w:r>
            <w:r>
              <w:t xml:space="preserve">; byte-identical regeneration checked by the regression suite (</w:t>
            </w:r>
            <w:r>
              <w:rPr>
                <w:rStyle w:val="VerbatimChar"/>
              </w:rPr>
              <w:t xml:space="preserve">vss-regeneration</w:t>
            </w:r>
            <w:r>
              <w:t xml:space="preserve">),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KUKSA databroker 0.7.0; Flutter cluster, Compose cluster and engine-audio service subscribe concurrently; suite check</w:t>
            </w:r>
            <w:r>
              <w:t xml:space="preserve"> </w:t>
            </w:r>
            <w:r>
              <w:rPr>
                <w:rStyle w:val="VerbatimChar"/>
              </w:rPr>
              <w:t xml:space="preserve">broker-up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p>
            <w:pPr>
              <w:pStyle w:val="Compact"/>
              <w:jc w:val="left"/>
            </w:pPr>
            <w:r>
              <w:t xml:space="preserve">Signal producers and consumers shall be mutually decoupled: neither needs knowledge of the other’s implementation.</w:t>
            </w:r>
          </w:p>
        </w:tc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Providers and HMIs share no code, only VSS paths (PULSE-SAD-001 section 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provide a telemetry source that generates physically plausible, correlated vehicle behaviour (speed, engine speed, gear, temperature, fuel, odometer) without any vehicle hardware.</w:t>
            </w:r>
          </w:p>
        </w:tc>
        <w:tc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  <w:r>
              <w:t xml:space="preserve">: lap and cruise cycles with correlated RPM, fuel and odometer. Suite check</w:t>
            </w:r>
            <w:r>
              <w:t xml:space="preserve"> </w:t>
            </w:r>
            <w:r>
              <w:rPr>
                <w:rStyle w:val="VerbatimChar"/>
              </w:rPr>
              <w:t xml:space="preserve">live-telemetry</w:t>
            </w:r>
            <w:r>
              <w:t xml:space="preserve"> </w:t>
            </w:r>
            <w:r>
              <w:t xml:space="preserve">passes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p>
            <w:pPr>
              <w:pStyle w:val="Compact"/>
              <w:jc w:val="left"/>
            </w:pPr>
            <w:r>
              <w:t xml:space="preserve">The telemetry source shall run a repeatable cycle so that UI behaviour can be compared across runs and across implementations.</w:t>
            </w:r>
          </w:p>
        </w:tc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Phase table is fixed with no randomness, but sampling is wall-clock driven, so runs differ in timing. Fixed-step replay in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The telemetry source shall be replaceable by a real vehicle-bus provider without modification to any HMI code.</w:t>
            </w:r>
          </w:p>
        </w:tc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Met by design (HMIs subscribe to VSS paths only); verified when the virtual CAN feeder replaces the simulator in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display, updating live: road speed, engine speed with warning and redline indication, selected gear, fuel level and range, per-corner tyre pressures, and driver-relevant status…</w:t>
            </w:r>
          </w:p>
        </w:tc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pulse-cluster/lib/screen/pulse_screen.dart</w:t>
            </w:r>
            <w:r>
              <w:t xml:space="preserve">; subscribed paths listed in PULSE-SAD-001 appendix 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display motorsport telemetry: current lap number, current and best lap time, aerodynamic (DRS) state, and energy-recovery (ERS) level and state.</w:t>
            </w:r>
          </w:p>
        </w:tc>
        <w:tc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Vehicle.Motorsport.*</w:t>
            </w:r>
            <w:r>
              <w:t xml:space="preserve"> </w:t>
            </w:r>
            <w:r>
              <w:t xml:space="preserve">overlay signals rendered by both HMIs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subscribe to abstract signals only. It shall not contain CAN frame parsing, DBC knowledge, or hardware-specific decoding.</w:t>
            </w:r>
          </w:p>
        </w:tc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 check</w:t>
            </w:r>
            <w:r>
              <w:t xml:space="preserve"> </w:t>
            </w:r>
            <w:r>
              <w:rPr>
                <w:rStyle w:val="VerbatimChar"/>
              </w:rPr>
              <w:t xml:space="preserve">hmi-purity</w:t>
            </w:r>
            <w:r>
              <w:t xml:space="preserve"> </w:t>
            </w:r>
            <w:r>
              <w:t xml:space="preserve">scans both HMI sources for CAN, DBC and SocketCAN tokens; passing,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be implemented twice, once in Flutter for Linux and once in Compose for Android Automotive, from a single shared visual design.</w:t>
            </w:r>
          </w:p>
        </w:tc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  <w:r>
              <w:t xml:space="preserve"> </w:t>
            </w:r>
            <w:r>
              <w:t xml:space="preserve">(Flutter) and</w:t>
            </w:r>
            <w:r>
              <w:t xml:space="preserve"> </w:t>
            </w:r>
            <w:r>
              <w:rPr>
                <w:rStyle w:val="VerbatimChar"/>
              </w:rPr>
              <w:t xml:space="preserve">pulse-cluster-android/</w:t>
            </w:r>
            <w:r>
              <w:t xml:space="preserve"> </w:t>
            </w:r>
            <w:r>
              <w:t xml:space="preserve">(Compose); design source in</w:t>
            </w:r>
            <w:r>
              <w:t xml:space="preserve"> </w:t>
            </w:r>
            <w:r>
              <w:rPr>
                <w:rStyle w:val="VerbatimChar"/>
              </w:rPr>
              <w:t xml:space="preserve">design/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p>
            <w:pPr>
              <w:pStyle w:val="Compact"/>
              <w:jc w:val="left"/>
            </w:pPr>
            <w:r>
              <w:t xml:space="preserve">Both implementations shall consume the identical signal source, so any observed difference is attributable to the platform, not the data.</w:t>
            </w:r>
          </w:p>
        </w:tc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Same broker and protocol for both. Signal sets have diverged: Flutter subscribes to 28 paths, Compose to 17. The nine extra are the driver-monitoring and…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render full-screen on the target strip display, and shall degrade gracefully to a normal window when that display is absent.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locates a 2560 x 720 output at runtime and passes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; unset means a normal window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support measurement of both implementations under identical telemetry: CPU utilisation, memory footprint, and shipped artefact size.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Measured once by hand: 123 vs 46 MB memory, 12.2 vs 11.5 % CPU, 50 vs 23 MB artefact (</w:t>
            </w:r>
            <w:r>
              <w:rPr>
                <w:rStyle w:val="VerbatimChar"/>
              </w:rPr>
              <w:t xml:space="preserve">BRIEF.md</w:t>
            </w:r>
            <w:r>
              <w:t xml:space="preserve">). Scripted benchmark in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p>
            <w:pPr>
              <w:pStyle w:val="Compact"/>
              <w:jc w:val="left"/>
            </w:pPr>
            <w:r>
              <w:t xml:space="preserve">Measurements shall distinguish application-level cost from platform-level cost, since these drive different procurement decisions.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Platform memory reported separately (AAOS 3.2 to 4.0 GB from emulator); target-hardware figures planned S3 to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p>
            <w:pPr>
              <w:pStyle w:val="Compact"/>
              <w:jc w:val="left"/>
            </w:pPr>
            <w:r>
              <w:t xml:space="preserve">Results shall be documented such that a reviewer can reproduce them from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Benchmark script and results file to be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derive driver fatigue and distraction levels from a driver-facing camera using inference executed entirely on the local device, and publish them as VSS driver signals.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: MediaPipe FaceLandmarker on CPU; publishes</w:t>
            </w:r>
            <w:r>
              <w:t xml:space="preserve"> </w:t>
            </w:r>
            <w:r>
              <w:rPr>
                <w:rStyle w:val="VerbatimChar"/>
              </w:rPr>
              <w:t xml:space="preserve">Vehicle.Driver.FatigueLevel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DistractionLevel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AttentiveProbability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IsEyesOnRoad</w:t>
            </w:r>
            <w:r>
              <w:t xml:space="preserve"> </w:t>
            </w:r>
            <w:r>
              <w:t xml:space="preserve">at 10 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maintain a driver alert state of NONE, DROWSY, DISTRACTED or NO_FACE. It shall raise an alert only after a configurable hold time, and release it only after a configurable clear…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DMS_ALERT_HOLD_S</w:t>
            </w:r>
            <w:r>
              <w:t xml:space="preserve"> </w:t>
            </w:r>
            <w:r>
              <w:t xml:space="preserve">3.0 s,</w:t>
            </w:r>
            <w:r>
              <w:t xml:space="preserve"> </w:t>
            </w:r>
            <w:r>
              <w:rPr>
                <w:rStyle w:val="VerbatimChar"/>
              </w:rPr>
              <w:t xml:space="preserve">DMS_ALERT_CLEAR_S</w:t>
            </w:r>
            <w:r>
              <w:t xml:space="preserve"> </w:t>
            </w:r>
            <w:r>
              <w:t xml:space="preserve">2.0 s;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Vehicle.Driver.Monitoring.AlertState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p>
            <w:pPr>
              <w:pStyle w:val="Compact"/>
              <w:jc w:val="left"/>
            </w:pPr>
            <w:r>
              <w:t xml:space="preserve">When cruise mode is active and the alert state is DROWSY, the vehicle model shall execute the minimum-risk manoeuvre specified in PULSE-SAF-001 SM-3, which the driver can abort by recovering…</w:t>
            </w:r>
          </w:p>
        </w:tc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  <w:r>
              <w:t xml:space="preserve"> </w:t>
            </w:r>
            <w:r>
              <w:t xml:space="preserve">cruise mode implements SM-3;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Vehicle.Driver.Monitoring.InterventionState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InterventionCountdown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render the driver attention level, the active alert as a full-width banner distinguishable by colour per alert type, and the intervention countdown.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Attention panel and banner in</w:t>
            </w:r>
            <w:r>
              <w:t xml:space="preserve"> </w:t>
            </w:r>
            <w:r>
              <w:rPr>
                <w:rStyle w:val="VerbatimChar"/>
              </w:rPr>
              <w:t xml:space="preserve">pulse_screen.dart</w:t>
            </w:r>
            <w:r>
              <w:t xml:space="preserve">; attention meter in</w:t>
            </w:r>
            <w:r>
              <w:t xml:space="preserve"> </w:t>
            </w:r>
            <w:r>
              <w:rPr>
                <w:rStyle w:val="VerbatimChar"/>
              </w:rPr>
              <w:t xml:space="preserve">classic_screen.dart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Autoware planning-simulation bridge, work package 04; VSS overlay for autonomy signals to be added under</w:t>
            </w:r>
            <w:r>
              <w:t xml:space="preserve"> </w:t>
            </w:r>
            <w:r>
              <w:rPr>
                <w:rStyle w:val="VerbatimChar"/>
              </w:rPr>
              <w:t xml:space="preserve">vss/</w:t>
            </w:r>
          </w:p>
        </w:tc>
      </w:tr>
    </w:tbl>
    <w:p>
      <w:pPr>
        <w:pStyle w:val="Heading2"/>
      </w:pPr>
      <w:bookmarkStart w:id="25" w:name="interface-ir-owner-pulse-syrs-001"/>
      <w:r>
        <w:t xml:space="preserve">3.2 Interface (IR), owner PULSE-SyRS-001</w:t>
      </w:r>
      <w:bookmarkEnd w:id="25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gRPC over HTTP/2,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Subscribe stream; Dart and Kotlin stubs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Units,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lists and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.vspec</w:t>
            </w:r>
            <w:r>
              <w:t xml:space="preserve"> </w:t>
            </w:r>
            <w:r>
              <w:t xml:space="preserve">overlays; broker rejects out-of-catalogue values on set; suite check</w:t>
            </w:r>
            <w:r>
              <w:t xml:space="preserve"> </w:t>
            </w:r>
            <w:r>
              <w:rPr>
                <w:rStyle w:val="VerbatimChar"/>
              </w:rPr>
              <w:t xml:space="preserve">unit-sanity</w:t>
            </w:r>
            <w:r>
              <w:t xml:space="preserve"> </w:t>
            </w:r>
            <w:r>
              <w:t xml:space="preserve">catches a value published…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IR-3</w:t>
            </w:r>
          </w:p>
        </w:tc>
        <w:tc>
          <w:p>
            <w:pPr>
              <w:pStyle w:val="Compact"/>
              <w:jc w:val="left"/>
            </w:pPr>
            <w:r>
              <w:t xml:space="preserve">The target display interface shall be a 2560 x 720 automotive strip panel.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Corsair Xeneon Edge on the desk rig; layout designed at 2560 x 720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IR-4</w:t>
            </w:r>
          </w:p>
        </w:tc>
        <w:tc>
          <w:p>
            <w:pPr>
              <w:pStyle w:val="Compact"/>
              <w:jc w:val="left"/>
            </w:pPr>
            <w:r>
              <w:t xml:space="preserve">Display placement shall be configurable at runtime, not fixed at compilation.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environment variable read by the Linux runner;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derives it from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set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; documented as a deviation in PULSE-SEC-001 section 5. Start-up warning (CS-3) planned S2</w:t>
            </w:r>
          </w:p>
        </w:tc>
      </w:tr>
    </w:tbl>
    <w:p>
      <w:pPr>
        <w:pStyle w:val="Heading2"/>
      </w:pPr>
      <w:bookmarkStart w:id="26" w:name="non-functional-nfr-owner-pulse-syrs-001"/>
      <w:r>
        <w:t xml:space="preserve">3.3 Non-functional (NFR), owner PULSE-SyRS-001</w:t>
      </w:r>
      <w:bookmarkEnd w:id="26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Fast signals at 10 Hz, one broker tick from publish to render; observed at the review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p>
            <w:pPr>
              <w:pStyle w:val="Compact"/>
              <w:jc w:val="left"/>
            </w:pPr>
            <w:r>
              <w:t xml:space="preserve">Legibility: primary values (speed, gear, engine speed) shall be readable in a sub-second glance, consistent with driver-distraction practice.</w:t>
            </w:r>
          </w:p>
        </w:tc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Design reviewed on the strip; numerals sized for the 720 px height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p>
            <w:pPr>
              <w:pStyle w:val="Compact"/>
              <w:jc w:val="left"/>
            </w:pPr>
            <w:r>
              <w:t xml:space="preserve">Footprint: the Linux implementation shall be deployable on constrained embedded hardware; total platform footprint is a first-class evaluation criterion.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Raspberry Pi 5 baseline, work package 03, week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Argument to be recorded with the Pi 5 baseline; Flutter embedder is the only platform-specific layer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Reproducibility: a new engineer shall be able to bring up the full stack on a clean machine from documentation alone.</w:t>
            </w:r>
          </w:p>
        </w:tc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Clean-machine bring-up performed 2026-08-18 and recorded in ONBOARDING.md, six blockers closed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KUKSA (Apache-2.0), VSS (MPL-2.0), Flutter (BSD), MediaPipe (Apache-2.0), AOSP; NOTICE file for the face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p>
            <w:pPr>
              <w:pStyle w:val="Compact"/>
              <w:jc w:val="left"/>
            </w:pPr>
            <w:r>
              <w:t xml:space="preserve">Determinism: repeated runs of the same cycle shall produce the same signal sequence, so comparisons are valid.</w:t>
            </w:r>
          </w:p>
        </w:tc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Same as FR-7: value sequence is deterministic in shape, sample timing is not. Fixed-step replay 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Broker pinned to</w:t>
            </w:r>
            <w:r>
              <w:t xml:space="preserve"> </w:t>
            </w:r>
            <w:r>
              <w:rPr>
                <w:rStyle w:val="VerbatimChar"/>
              </w:rPr>
              <w:t xml:space="preserve">0.7.0</w:t>
            </w:r>
            <w:r>
              <w:t xml:space="preserve"> </w:t>
            </w:r>
            <w:r>
              <w:t xml:space="preserve">by tag and digest;</w:t>
            </w:r>
            <w:r>
              <w:t xml:space="preserve"> </w:t>
            </w:r>
            <w:r>
              <w:rPr>
                <w:rStyle w:val="VerbatimChar"/>
              </w:rPr>
              <w:t xml:space="preserve">kuksa-client==0.5.2</w:t>
            </w:r>
            <w:r>
              <w:t xml:space="preserve"> </w:t>
            </w:r>
            <w:r>
              <w:t xml:space="preserve">and Python deps in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; VSS at v6.0; Dart deps in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  <w:r>
              <w:t xml:space="preserve">. Remaining…</w:t>
            </w:r>
          </w:p>
        </w:tc>
      </w:tr>
    </w:tbl>
    <w:p>
      <w:pPr>
        <w:pStyle w:val="Heading2"/>
      </w:pPr>
      <w:bookmarkStart w:id="27" w:name="functional-safety-sr-owner-pulse-saf-001"/>
      <w:r>
        <w:t xml:space="preserve">3.4 Functional safety (SR), owner PULSE-SAF-001</w:t>
      </w:r>
      <w:bookmarkEnd w:id="27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</w:t>
            </w:r>
          </w:p>
        </w:tc>
        <w:tc>
          <w:p>
            <w:pPr>
              <w:pStyle w:val="Compact"/>
              <w:jc w:val="left"/>
            </w:pPr>
            <w:r>
              <w:t xml:space="preserve">An item definition shall be written for the cluster and driver-monitoring function, naming the system boundary, the assumed vehicle context, and the interfaces crossing that boundary (ISO 26262-3).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2 of this document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SR-2</w:t>
            </w:r>
          </w:p>
        </w:tc>
        <w:tc>
          <w:p>
            <w:pPr>
              <w:pStyle w:val="Compact"/>
              <w:jc w:val="left"/>
            </w:pPr>
            <w:r>
              <w:t xml:space="preserve">A preliminary hazard analysis and risk assessment (HARA) shall be recorded for the displayed functions, with severity, exposure and controllability rated per malfunction and a resulting ASIL proposal.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4; eight hazards rated; review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SR-3</w:t>
            </w:r>
          </w:p>
        </w:tc>
        <w:tc>
          <w:p>
            <w:pPr>
              <w:pStyle w:val="Compact"/>
              <w:jc w:val="left"/>
            </w:pPr>
            <w:r>
              <w:t xml:space="preserve">Signals whose corruption or loss could mislead the driver (road speed, gear, warning indicators, drowsiness alert) shall be identified as safety-relevant and listed explicitly.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p>
            <w:pPr>
              <w:pStyle w:val="Compact"/>
              <w:jc w:val="left"/>
            </w:pPr>
            <w:r>
              <w:t xml:space="preserve">SM-1; Flutter service reconnects but shows last value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Criteria proposed in section 3; enforcement with SM-1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SM-2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SR-7</w:t>
            </w:r>
          </w:p>
        </w:tc>
        <w:tc>
          <w:p>
            <w:pPr>
              <w:pStyle w:val="Compact"/>
              <w:jc w:val="left"/>
            </w:pPr>
            <w:r>
              <w:t xml:space="preserve">The minimum-risk manoeuvre triggered by sustained driver drowsiness shall be specified as a safety mechanism: trigger condition, driver-recovery window, escalation, and abort condition.</w:t>
            </w:r>
          </w:p>
        </w:tc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SM-3; implemented in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cruise mode; demonstrated live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A safety-relevant requirement shall be traceable to the verification that demonstrates it, and each verification result shall be reproducible from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PULSE-RTM-001 generated from this table; regression suite runs before each demo and commits its report to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; safety-specific tests (SR-4 to…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 section 8, DD-1 to DD-11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SR-11</w:t>
            </w:r>
          </w:p>
        </w:tc>
        <w:tc>
          <w:p>
            <w:pPr>
              <w:pStyle w:val="Compact"/>
              <w:jc w:val="left"/>
            </w:pPr>
            <w:r>
              <w:t xml:space="preserve">A qualification gap list shall be maintained: for each component, what a production programme would still need (qualified toolchain, certified OS, evidence of a safety-qualified renderer).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p>
      <w:pPr>
        <w:pStyle w:val="Heading2"/>
      </w:pPr>
      <w:bookmarkStart w:id="28" w:name="cybersecurity-cs-owner-pulse-sec-001"/>
      <w:r>
        <w:t xml:space="preserve">3.5 Cybersecurity (CS), owner PULSE-SEC-001</w:t>
      </w:r>
      <w:bookmarkEnd w:id="28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</w:t>
            </w:r>
          </w:p>
        </w:tc>
        <w:tc>
          <w:p>
            <w:pPr>
              <w:pStyle w:val="Compact"/>
              <w:jc w:val="left"/>
            </w:pPr>
            <w:r>
              <w:t xml:space="preserve">A threat analysis and risk assessment (TARA) shall be recorded for the signal path, covering the broker, both HMI clients, the telemetry provider and the camera input. Each threat scenario shall…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4, nine scenarios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CS-2</w:t>
            </w:r>
          </w:p>
        </w:tc>
        <w:tc>
          <w:p>
            <w:pPr>
              <w:pStyle w:val="Compact"/>
              <w:jc w:val="left"/>
            </w:pPr>
            <w:r>
              <w:t xml:space="preserve">The item boundary and its trust boundaries shall be documented, distinguishing on-device interfaces from anything reachable off the device.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CS-3</w:t>
            </w:r>
          </w:p>
        </w:tc>
        <w:tc>
          <w:p>
            <w:pPr>
              <w:pStyle w:val="Compact"/>
              <w:jc w:val="left"/>
            </w:pPr>
            <w:r>
              <w:t xml:space="preserve">Broker communication shall support authenticated, encrypted transport (mutual TLS). Running without it shall be a configuration reserved for local development and flagged at start-up.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p>
            <w:pPr>
              <w:pStyle w:val="Compact"/>
              <w:jc w:val="left"/>
            </w:pPr>
            <w:r>
              <w:t xml:space="preserve">Section 5;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 </w:t>
            </w:r>
            <w:r>
              <w:t xml:space="preserve">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Broker-side validation implemented by KUKSA; HMI-side check and test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Camera frames shall not leave the device and shall not be persisted. Only derived state, such as the drowsiness level, shall be published.</w:t>
            </w:r>
          </w:p>
        </w:tc>
        <w:tc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 </w:t>
            </w:r>
            <w:r>
              <w:t xml:space="preserve">publishes six derived signals and writes no files; test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Python, Dart and the broker image pinned. No SBOM yet.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 </w:t>
            </w:r>
            <w:r>
              <w:t xml:space="preserve">scans every tracked file for key and credential patterns; passing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Suite exists (</w:t>
            </w:r>
            <w:r>
              <w:rPr>
                <w:rStyle w:val="VerbatimChar"/>
              </w:rPr>
              <w:t xml:space="preserve">scripts/regression.sh</w:t>
            </w:r>
            <w:r>
              <w:t xml:space="preserve">) with range and secret checks for CS-5 and CS-9; CS-6 and CS-8 checks join in S2</w:t>
            </w:r>
          </w:p>
        </w:tc>
      </w:tr>
    </w:tbl>
    <w:p>
      <w:pPr>
        <w:pStyle w:val="Heading1"/>
      </w:pPr>
      <w:bookmarkStart w:id="29" w:name="story-to-requirements"/>
      <w:r>
        <w:t xml:space="preserve">4. Story to requirements</w:t>
      </w:r>
      <w:bookmarkEnd w:id="29"/>
    </w:p>
    <w:tbl>
      <w:tblPr>
        <w:tblStyle w:val="Table"/>
        <w:tblW w:type="pct" w:w="4999.999999999999"/>
        <w:tblLook w:firstRow="1"/>
      </w:tblPr>
      <w:tblGrid>
        <w:gridCol w:w="528"/>
        <w:gridCol w:w="3520"/>
        <w:gridCol w:w="1056"/>
        <w:gridCol w:w="1760"/>
        <w:gridCol w:w="105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 of those requirements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As an HMI developer, I want every vehicle value available as a named VSS signal, so that I never touch bus formats or…</w:t>
            </w:r>
          </w:p>
        </w:tc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FR-1, FR-11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As a platform engineer, I want domain signals added as VSS overlays, so that we stay compatible with the upstream…</w:t>
            </w:r>
          </w:p>
        </w:tc>
        <w:tc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p>
            <w:pPr>
              <w:pStyle w:val="Compact"/>
              <w:jc w:val="left"/>
            </w:pPr>
            <w:r>
              <w:t xml:space="preserve">FR-2, FR-3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As an integrator, I want producers and consumers to meet only at the broker, so that either side can be swapped…</w:t>
            </w:r>
          </w:p>
        </w:tc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FR-5, FR-8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p>
            <w:pPr>
              <w:pStyle w:val="Compact"/>
              <w:jc w:val="left"/>
            </w:pPr>
            <w:r>
              <w:t xml:space="preserve">As a demonstrator, I want a realistic drive cycle without a vehicle, so that the cluster behaves plausibly on a desk.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As an evaluator, I want the same cycle to replay identically, so that measurements of the two HMIs are comparable.</w:t>
            </w:r>
          </w:p>
        </w:tc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FR-7, NFR-7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As a driver, I want speed, RPM, gear, fuel and tyre pressures at a glance, so that I can read the vehicle state in…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FR-9, NFR-2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p>
            <w:pPr>
              <w:pStyle w:val="Compact"/>
              <w:jc w:val="left"/>
            </w:pPr>
            <w:r>
              <w:t xml:space="preserve">As a race engineer, I want lap, DRS and ERS state on the cluster, so that motorsport telemetry is visible live.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As a stakeholder, I want the same design built in Flutter and Compose from one signal source, so that the platform…</w:t>
            </w:r>
          </w:p>
        </w:tc>
        <w:tc>
          <w:p>
            <w:pPr>
              <w:pStyle w:val="Compact"/>
              <w:jc w:val="left"/>
            </w:pPr>
            <w:r>
              <w:t xml:space="preserve">SN-1, SN-2</w:t>
            </w:r>
          </w:p>
        </w:tc>
        <w:tc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p>
            <w:pPr>
              <w:pStyle w:val="Compact"/>
              <w:jc w:val="left"/>
            </w:pPr>
            <w:r>
              <w:t xml:space="preserve">D, 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As a presenter, I want the cluster full-screen on the strip display but windowed elsewhere, so that the demo works on…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FR-14, IR-3, IR-4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As the sponsor, I want application cost separated from platform cost, so that the toolkit decision and the hardware…</w:t>
            </w:r>
          </w:p>
        </w:tc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FR-15, FR-16, FR-17, NFR-3</w:t>
            </w:r>
          </w:p>
        </w:tc>
        <w:tc>
          <w:p>
            <w:pPr>
              <w:pStyle w:val="Compact"/>
              <w:jc w:val="left"/>
            </w:pPr>
            <w:r>
              <w:t xml:space="preserve">A,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As a new engineer, I want to bring the stack up from documentation alone, so that the competence outlives the project.</w:t>
            </w:r>
          </w:p>
        </w:tc>
        <w:tc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As a driver, I want the cluster to warn me when I am drowsy or distracted, so that I regain attention before anything…</w:t>
            </w:r>
          </w:p>
        </w:tc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FR-18, FR-19, FR-21</w:t>
            </w:r>
          </w:p>
        </w:tc>
        <w:tc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As a safety engineer, I want sustained drowsiness to trigger a defined minimum-risk manoeuvre with a recovery window…</w:t>
            </w:r>
          </w:p>
        </w:tc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FR-20, SR-7</w:t>
            </w:r>
          </w:p>
        </w:tc>
        <w:tc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p>
            <w:pPr>
              <w:pStyle w:val="Compact"/>
              <w:jc w:val="left"/>
            </w:pPr>
            <w:r>
              <w:t xml:space="preserve">As a privacy officer, I want camera frames to stay on the device, so that driver monitoring never becomes surveillance.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As a safety manager, I want an item definition, hazard analysis and safety-relevant signal list for the cluster, so…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SR-1, SR-2, SR-3, SR-11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As a security manager, I want a threat analysis and trust-boundary description for the signal path, so that the…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CS-1, CS-2, CS-3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p>
            <w:pPr>
              <w:pStyle w:val="Compact"/>
              <w:jc w:val="left"/>
            </w:pPr>
            <w:r>
              <w:t xml:space="preserve">As a reviewer, I want every requirement traced to a story and a verification, so that I can see what the prototype…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Heading1"/>
      </w:pPr>
      <w:bookmarkStart w:id="30" w:name="requirements-not-reached-by-a-user-story"/>
      <w:r>
        <w:t xml:space="preserve">5. Requirements not reached by a user story</w:t>
      </w:r>
      <w:bookmarkEnd w:id="30"/>
    </w:p>
    <w:p>
      <w:pPr>
        <w:pStyle w:val="FirstParagraph"/>
      </w:pPr>
      <w:r>
        <w:t xml:space="preserve">These are traced only through their owning document and its verification column. Add a story or accept the gap at review.</w:t>
      </w:r>
    </w:p>
    <w:tbl>
      <w:tblPr>
        <w:tblStyle w:val="Table"/>
        <w:tblW w:type="pct" w:w="5000.0"/>
        <w:tblLook w:firstRow="1"/>
      </w:tblPr>
      <w:tblGrid>
        <w:gridCol w:w="552"/>
        <w:gridCol w:w="4973"/>
        <w:gridCol w:w="1289"/>
        <w:gridCol w:w="110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p>
      <w:pPr>
        <w:pStyle w:val="Heading1"/>
      </w:pPr>
      <w:bookmarkStart w:id="31" w:name="consistency"/>
      <w:r>
        <w:t xml:space="preserve">6. Consistency</w:t>
      </w:r>
      <w:bookmarkEnd w:id="31"/>
    </w:p>
    <w:p>
      <w:pPr>
        <w:pStyle w:val="FirstParagraph"/>
      </w:pPr>
      <w:r>
        <w:t xml:space="preserve">Needs: 7. Stories: 17. Requirements: 57. Dangling references: 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Generated by scripts/gen_rtm.py</dc:creator>
  <cp:keywords/>
  <dcterms:created xsi:type="dcterms:W3CDTF">2026-09-08T12:10:08Z</dcterms:created>
  <dcterms:modified xsi:type="dcterms:W3CDTF">2026-09-08T12:10:08Z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