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 (</w:t>
            </w:r>
            <w:r>
              <w:rPr>
                <w:rStyle w:val="VerbatimChar"/>
              </w:rPr>
              <w:t xml:space="preserve">--insecure</w:t>
            </w:r>
            <w:r>
              <w:t xml:space="preserve">); see PULSE-SEC-001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configuration; see PULSE-SEC-001 CS-4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.0"/>
        <w:tblLook w:firstRow="1"/>
      </w:tblPr>
      <w:tblGrid>
        <w:gridCol w:w="465"/>
        <w:gridCol w:w="4658"/>
        <w:gridCol w:w="279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Removed by CS-3 in sprint 2; start-up warning until 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via FVM or a recorded version in sprint 2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2026-09-08T12:03:33Z</dcterms:created>
  <dcterms:modified xsi:type="dcterms:W3CDTF">2026-09-08T12:03:33Z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