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3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PULSE-StRS-001</w:t>
            </w:r>
          </w:p>
        </w:tc>
      </w:tr>
      <w:tr>
        <w:tc>
          <w:p>
            <w:pPr>
              <w:pStyle w:val="Compact"/>
              <w:jc w:val="left"/>
            </w:pPr>
            <w:r>
              <w:t xml:space="preserve">Title</w:t>
            </w:r>
          </w:p>
        </w:tc>
        <w:tc>
          <w:p>
            <w:pPr>
              <w:pStyle w:val="Compact"/>
              <w:jc w:val="left"/>
            </w:pPr>
            <w:r>
              <w:t xml:space="preserve">Stakeholder Requirements Specification and User Stories</w:t>
            </w:r>
          </w:p>
        </w:tc>
      </w:tr>
      <w:tr>
        <w:tc>
          <w:p>
            <w:pPr>
              <w:pStyle w:val="Compact"/>
              <w:jc w:val="left"/>
            </w:pPr>
            <w:r>
              <w:t xml:space="preserve">Version</w:t>
            </w:r>
          </w:p>
        </w:tc>
        <w:tc>
          <w:p>
            <w:pPr>
              <w:pStyle w:val="Compact"/>
              <w:jc w:val="left"/>
            </w:pPr>
            <w:r>
              <w:t xml:space="preserve">1.1</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Classification</w:t>
            </w:r>
          </w:p>
        </w:tc>
        <w:tc>
          <w:p>
            <w:pPr>
              <w:pStyle w:val="Compact"/>
              <w:jc w:val="left"/>
            </w:pPr>
            <w:r>
              <w:t xml:space="preserve">Internal, competency project</w:t>
            </w:r>
          </w:p>
        </w:tc>
      </w:tr>
      <w:tr>
        <w:tc>
          <w:p>
            <w:pPr>
              <w:pStyle w:val="Compact"/>
              <w:jc w:val="left"/>
            </w:pPr>
            <w:r>
              <w:t xml:space="preserve">Related</w:t>
            </w:r>
          </w:p>
        </w:tc>
        <w:tc>
          <w:p>
            <w:pPr>
              <w:pStyle w:val="Compact"/>
              <w:jc w:val="left"/>
            </w:pPr>
            <w:r>
              <w:t xml:space="preserve">PULSE-SyRS-001, 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First draft, single combined document</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Split into the document set; stakeholder needs added; stories traced to needs and system requirements; frozen for sprint 1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Document-set map, delivery plan and needs-to-epics diagrams added; section 3.1 added</w:t>
            </w:r>
          </w:p>
        </w:tc>
      </w:tr>
    </w:tbl>
    <w:p>
      <w:pPr>
        <w:pStyle w:val="Heading2"/>
      </w:pPr>
      <w:bookmarkStart w:id="22" w:name="document-set"/>
      <w:r>
        <w:t xml:space="preserve">Document set</w:t>
      </w:r>
      <w:bookmarkEnd w:id="22"/>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0"/>
        <w:tblLook w:firstRow="1"/>
      </w:tblPr>
      <w:tblGrid>
        <w:gridCol w:w="1267"/>
        <w:gridCol w:w="2851"/>
        <w:gridCol w:w="3801"/>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Answers</w:t>
            </w:r>
          </w:p>
        </w:tc>
      </w:tr>
      <w:tr>
        <w:tc>
          <w:p>
            <w:pPr>
              <w:pStyle w:val="Compact"/>
              <w:jc w:val="left"/>
            </w:pPr>
            <w:r>
              <w:t xml:space="preserve">PULSE-StRS-001</w:t>
            </w:r>
          </w:p>
        </w:tc>
        <w:tc>
          <w:p>
            <w:pPr>
              <w:pStyle w:val="Compact"/>
              <w:jc w:val="left"/>
            </w:pPr>
            <w:r>
              <w:t xml:space="preserve">Stakeholder Requirements and User Stories (this document)</w:t>
            </w:r>
          </w:p>
        </w:tc>
        <w:tc>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p>
            <w:pPr>
              <w:pStyle w:val="Compact"/>
              <w:jc w:val="left"/>
            </w:pPr>
            <w:r>
              <w:t xml:space="preserve">PULSE-SyRS-001</w:t>
            </w:r>
          </w:p>
        </w:tc>
        <w:tc>
          <w:p>
            <w:pPr>
              <w:pStyle w:val="Compact"/>
              <w:jc w:val="left"/>
            </w:pPr>
            <w:r>
              <w:t xml:space="preserve">System Requirements Specification</w:t>
            </w:r>
          </w:p>
        </w:tc>
        <w:tc>
          <w:p>
            <w:pPr>
              <w:pStyle w:val="Compact"/>
              <w:jc w:val="left"/>
            </w:pPr>
            <w:r>
              <w:t xml:space="preserve">What the system shall do, numbered and verifiable</w:t>
            </w:r>
          </w:p>
        </w:tc>
      </w:tr>
      <w:tr>
        <w:tc>
          <w:p>
            <w:pPr>
              <w:pStyle w:val="Compact"/>
              <w:jc w:val="left"/>
            </w:pPr>
            <w:r>
              <w:t xml:space="preserve">PULSE-SAD-001</w:t>
            </w:r>
          </w:p>
        </w:tc>
        <w:tc>
          <w:p>
            <w:pPr>
              <w:pStyle w:val="Compact"/>
              <w:jc w:val="left"/>
            </w:pPr>
            <w:r>
              <w:t xml:space="preserve">System Architecture Description</w:t>
            </w:r>
          </w:p>
        </w:tc>
        <w:tc>
          <w:p>
            <w:pPr>
              <w:pStyle w:val="Compact"/>
              <w:jc w:val="left"/>
            </w:pPr>
            <w:r>
              <w:t xml:space="preserve">How the system is built, its components, interfaces and deployment</w:t>
            </w:r>
          </w:p>
        </w:tc>
      </w:tr>
      <w:tr>
        <w:tc>
          <w:p>
            <w:pPr>
              <w:pStyle w:val="Compact"/>
              <w:jc w:val="left"/>
            </w:pPr>
            <w:r>
              <w:t xml:space="preserve">PULSE-SAF-001</w:t>
            </w:r>
          </w:p>
        </w:tc>
        <w:tc>
          <w:p>
            <w:pPr>
              <w:pStyle w:val="Compact"/>
              <w:jc w:val="left"/>
            </w:pPr>
            <w:r>
              <w:t xml:space="preserve">Functional Safety Concept, preliminary</w:t>
            </w:r>
          </w:p>
        </w:tc>
        <w:tc>
          <w:p>
            <w:pPr>
              <w:pStyle w:val="Compact"/>
              <w:jc w:val="left"/>
            </w:pPr>
            <w:r>
              <w:t xml:space="preserve">ISO 26262 readiness artefacts</w:t>
            </w:r>
          </w:p>
        </w:tc>
      </w:tr>
      <w:tr>
        <w:tc>
          <w:p>
            <w:pPr>
              <w:pStyle w:val="Compact"/>
              <w:jc w:val="left"/>
            </w:pPr>
            <w:r>
              <w:t xml:space="preserve">PULSE-SEC-001</w:t>
            </w:r>
          </w:p>
        </w:tc>
        <w:tc>
          <w:p>
            <w:pPr>
              <w:pStyle w:val="Compact"/>
              <w:jc w:val="left"/>
            </w:pPr>
            <w:r>
              <w:t xml:space="preserve">Cybersecurity Concept, preliminary</w:t>
            </w:r>
          </w:p>
        </w:tc>
        <w:tc>
          <w:p>
            <w:pPr>
              <w:pStyle w:val="Compact"/>
              <w:jc w:val="left"/>
            </w:pPr>
            <w:r>
              <w:t xml:space="preserve">ISO/SAE 21434 and UNECE R155 readiness artefacts</w:t>
            </w:r>
          </w:p>
        </w:tc>
      </w:tr>
      <w:tr>
        <w:tc>
          <w:p>
            <w:pPr>
              <w:pStyle w:val="Compact"/>
              <w:jc w:val="left"/>
            </w:pPr>
            <w:r>
              <w:t xml:space="preserve">PULSE-RTM-001</w:t>
            </w:r>
          </w:p>
        </w:tc>
        <w:tc>
          <w:p>
            <w:pPr>
              <w:pStyle w:val="Compact"/>
              <w:jc w:val="left"/>
            </w:pPr>
            <w:r>
              <w:t xml:space="preserve">Requirements Traceability Matrix</w:t>
            </w:r>
          </w:p>
        </w:tc>
        <w:tc>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1" name="Picture"/>
            <a:graphic>
              <a:graphicData uri="http://schemas.openxmlformats.org/drawingml/2006/picture">
                <pic:pic>
                  <pic:nvPicPr>
                    <pic:cNvPr descr="diagrams/doc-set.png" id="0" name="Picture"/>
                    <pic:cNvPicPr>
                      <a:picLocks noChangeArrowheads="1" noChangeAspect="1"/>
                    </pic:cNvPicPr>
                  </pic:nvPicPr>
                  <pic:blipFill>
                    <a:blip r:embed="rId23"/>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p>
      <w:pPr>
        <w:pStyle w:val="Heading1"/>
      </w:pPr>
      <w:bookmarkStart w:id="24" w:name="purpose"/>
      <w:r>
        <w:t xml:space="preserve">1. Purpose</w:t>
      </w:r>
      <w:bookmarkEnd w:id="24"/>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p>
      <w:pPr>
        <w:pStyle w:val="Heading1"/>
      </w:pPr>
      <w:bookmarkStart w:id="25" w:name="stakeholder-brief"/>
      <w:r>
        <w:t xml:space="preserve">2. Stakeholder brief</w:t>
      </w:r>
      <w:bookmarkEnd w:id="25"/>
    </w:p>
    <w:p>
      <w:pPr>
        <w:pStyle w:val="FirstParagraph"/>
      </w:pPr>
      <w:r>
        <w:rPr>
          <w:b/>
        </w:rPr>
        <w:t xml:space="preserve">Requesting stakeholder:</w:t>
      </w:r>
      <w:r>
        <w:t xml:space="preserve"> </w:t>
      </w:r>
      <w:r>
        <w:t xml:space="preserve">Cockpit Electronics / HMI Platform Group.</w:t>
      </w:r>
    </w:p>
    <w:p>
      <w:pPr>
        <w:pStyle w:val="BodyText"/>
      </w:pPr>
      <w:r>
        <w:rPr>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p>
      <w:pPr>
        <w:pStyle w:val="Heading2"/>
      </w:pPr>
      <w:bookmarkStart w:id="26" w:name="business-drivers"/>
      <w:r>
        <w:t xml:space="preserve">2.1 Business drivers</w:t>
      </w:r>
      <w:bookmarkEnd w:id="26"/>
    </w:p>
    <w:p>
      <w:pPr>
        <w:pStyle w:val="Compact"/>
        <w:numPr>
          <w:numId w:val="1001"/>
          <w:ilvl w:val="0"/>
        </w:numPr>
      </w:pPr>
      <w:r>
        <w:t xml:space="preserve">Cockpit programmes are being asked to commit to an HMI toolkit years before hardware is fixed. That decision is currently made on vendor claims, not measured evidence.</w:t>
      </w:r>
    </w:p>
    <w:p>
      <w:pPr>
        <w:pStyle w:val="Compact"/>
        <w:numPr>
          <w:numId w:val="1001"/>
          <w:ilvl w:val="0"/>
        </w:numPr>
      </w:pPr>
      <w:r>
        <w:t xml:space="preserve">The industry is converging on a hybrid cockpit: one signal broker feeding a safety-relevant Linux cluster and an Android infotainment surface. The group needs in-house competence in that pattern before it lands in a production programme.</w:t>
      </w:r>
    </w:p>
    <w:p>
      <w:pPr>
        <w:pStyle w:val="Compact"/>
        <w:numPr>
          <w:numId w:val="1001"/>
          <w:ilvl w:val="0"/>
        </w:numPr>
      </w:pPr>
      <w:r>
        <w:t xml:space="preserve">HMI work is repeatedly re-done when the underlying bus or ECU changes. The group wants a UI layer that is decoupled from CAN, so a change of vehicle platform does not restart the HMI effort.</w:t>
      </w:r>
    </w:p>
    <w:p>
      <w:pPr>
        <w:pStyle w:val="Heading2"/>
      </w:pPr>
      <w:bookmarkStart w:id="27" w:name="why-a-motorsport-cluster"/>
      <w:r>
        <w:t xml:space="preserve">2.2 Why a motorsport cluster</w:t>
      </w:r>
      <w:bookmarkEnd w:id="27"/>
    </w:p>
    <w:p>
      <w:pPr>
        <w:pStyle w:val="FirstParagraph"/>
      </w:pPr>
      <w:r>
        <w:t xml:space="preserve">A racing UI is deliberately the worst case: high refresh rate, dense simultaneous signals, wide dynamic range, and hard legibility demands. If the architecture holds here, it holds for a passenger-car cluster.</w:t>
      </w:r>
    </w:p>
    <w:p>
      <w:pPr>
        <w:pStyle w:val="Heading2"/>
      </w:pPr>
      <w:bookmarkStart w:id="28" w:name="stakeholders"/>
      <w:r>
        <w:t xml:space="preserve">2.3 Stakeholders</w:t>
      </w:r>
      <w:bookmarkEnd w:id="28"/>
    </w:p>
    <w:tbl>
      <w:tblPr>
        <w:tblStyle w:val="Table"/>
        <w:tblW w:type="pct" w:w="5000.0"/>
        <w:tblLook w:firstRow="1"/>
      </w:tblPr>
      <w:tblGrid>
        <w:gridCol w:w="1425"/>
        <w:gridCol w:w="3643"/>
        <w:gridCol w:w="2851"/>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Interest</w:t>
            </w:r>
          </w:p>
        </w:tc>
        <w:tc>
          <w:tcPr>
            <w:tcBorders>
              <w:bottom w:val="single"/>
            </w:tcBorders>
            <w:vAlign w:val="bottom"/>
          </w:tcPr>
          <w:p>
            <w:pPr>
              <w:pStyle w:val="Compact"/>
              <w:jc w:val="left"/>
            </w:pPr>
            <w:r>
              <w:t xml:space="preserve">Represented by</w:t>
            </w:r>
          </w:p>
        </w:tc>
      </w:tr>
      <w:tr>
        <w:tc>
          <w:p>
            <w:pPr>
              <w:pStyle w:val="Compact"/>
              <w:jc w:val="left"/>
            </w:pPr>
            <w:r>
              <w:t xml:space="preserve">Sponsor</w:t>
            </w:r>
          </w:p>
        </w:tc>
        <w:tc>
          <w:p>
            <w:pPr>
              <w:pStyle w:val="Compact"/>
              <w:jc w:val="left"/>
            </w:pPr>
            <w:r>
              <w:t xml:space="preserve">An evidence-based toolkit decision and a costed hardware envelope</w:t>
            </w:r>
          </w:p>
        </w:tc>
        <w:tc>
          <w:p>
            <w:pPr>
              <w:pStyle w:val="Compact"/>
              <w:jc w:val="left"/>
            </w:pPr>
            <w:r>
              <w:t xml:space="preserve">Cockpit Electronics / HMI Platform Group</w:t>
            </w:r>
          </w:p>
        </w:tc>
      </w:tr>
      <w:tr>
        <w:tc>
          <w:p>
            <w:pPr>
              <w:pStyle w:val="Compact"/>
              <w:jc w:val="left"/>
            </w:pPr>
            <w:r>
              <w:t xml:space="preserve">HMI developer</w:t>
            </w:r>
          </w:p>
        </w:tc>
        <w:tc>
          <w:p>
            <w:pPr>
              <w:pStyle w:val="Compact"/>
              <w:jc w:val="left"/>
            </w:pPr>
            <w:r>
              <w:t xml:space="preserve">Never touching bus formats; a stable signal contract</w:t>
            </w:r>
          </w:p>
        </w:tc>
        <w:tc>
          <w:p>
            <w:pPr>
              <w:pStyle w:val="Compact"/>
              <w:jc w:val="left"/>
            </w:pPr>
            <w:r>
              <w:t xml:space="preserve">Project engineer</w:t>
            </w:r>
          </w:p>
        </w:tc>
      </w:tr>
      <w:tr>
        <w:tc>
          <w:p>
            <w:pPr>
              <w:pStyle w:val="Compact"/>
              <w:jc w:val="left"/>
            </w:pPr>
            <w:r>
              <w:t xml:space="preserve">Platform engineer</w:t>
            </w:r>
          </w:p>
        </w:tc>
        <w:tc>
          <w:p>
            <w:pPr>
              <w:pStyle w:val="Compact"/>
              <w:jc w:val="left"/>
            </w:pPr>
            <w:r>
              <w:t xml:space="preserve">Upstream-compatible signal catalogue; reproducible builds</w:t>
            </w:r>
          </w:p>
        </w:tc>
        <w:tc>
          <w:p>
            <w:pPr>
              <w:pStyle w:val="Compact"/>
              <w:jc w:val="left"/>
            </w:pPr>
            <w:r>
              <w:t xml:space="preserve">Project engineer</w:t>
            </w:r>
          </w:p>
        </w:tc>
      </w:tr>
      <w:tr>
        <w:tc>
          <w:p>
            <w:pPr>
              <w:pStyle w:val="Compact"/>
              <w:jc w:val="left"/>
            </w:pPr>
            <w:r>
              <w:t xml:space="preserve">Integrator</w:t>
            </w:r>
          </w:p>
        </w:tc>
        <w:tc>
          <w:p>
            <w:pPr>
              <w:pStyle w:val="Compact"/>
              <w:jc w:val="left"/>
            </w:pPr>
            <w:r>
              <w:t xml:space="preserve">Swapping data sources without HMI changes</w:t>
            </w:r>
          </w:p>
        </w:tc>
        <w:tc>
          <w:p>
            <w:pPr>
              <w:pStyle w:val="Compact"/>
              <w:jc w:val="left"/>
            </w:pPr>
            <w:r>
              <w:t xml:space="preserve">Future CAN feeder programme</w:t>
            </w:r>
          </w:p>
        </w:tc>
      </w:tr>
      <w:tr>
        <w:tc>
          <w:p>
            <w:pPr>
              <w:pStyle w:val="Compact"/>
              <w:jc w:val="left"/>
            </w:pPr>
            <w:r>
              <w:t xml:space="preserve">Safety manager</w:t>
            </w:r>
          </w:p>
        </w:tc>
        <w:tc>
          <w:p>
            <w:pPr>
              <w:pStyle w:val="Compact"/>
              <w:jc w:val="left"/>
            </w:pPr>
            <w:r>
              <w:t xml:space="preserve">Compliance-readiness artefacts that a production programme can pick up</w:t>
            </w:r>
          </w:p>
        </w:tc>
        <w:tc>
          <w:p>
            <w:pPr>
              <w:pStyle w:val="Compact"/>
              <w:jc w:val="left"/>
            </w:pPr>
            <w:r>
              <w:t xml:space="preserve">Not yet assigned; see PULSE-SAF-001</w:t>
            </w:r>
          </w:p>
        </w:tc>
      </w:tr>
      <w:tr>
        <w:tc>
          <w:p>
            <w:pPr>
              <w:pStyle w:val="Compact"/>
              <w:jc w:val="left"/>
            </w:pPr>
            <w:r>
              <w:t xml:space="preserve">Security manager</w:t>
            </w:r>
          </w:p>
        </w:tc>
        <w:tc>
          <w:p>
            <w:pPr>
              <w:pStyle w:val="Compact"/>
              <w:jc w:val="left"/>
            </w:pPr>
            <w:r>
              <w:t xml:space="preserve">Same, for ISO/SAE 21434 and R155</w:t>
            </w:r>
          </w:p>
        </w:tc>
        <w:tc>
          <w:p>
            <w:pPr>
              <w:pStyle w:val="Compact"/>
              <w:jc w:val="left"/>
            </w:pPr>
            <w:r>
              <w:t xml:space="preserve">Not yet assigned; see PULSE-SEC-001</w:t>
            </w:r>
          </w:p>
        </w:tc>
      </w:tr>
      <w:tr>
        <w:tc>
          <w:p>
            <w:pPr>
              <w:pStyle w:val="Compact"/>
              <w:jc w:val="left"/>
            </w:pPr>
            <w:r>
              <w:t xml:space="preserve">Presenter</w:t>
            </w:r>
          </w:p>
        </w:tc>
        <w:tc>
          <w:p>
            <w:pPr>
              <w:pStyle w:val="Compact"/>
              <w:jc w:val="left"/>
            </w:pPr>
            <w:r>
              <w:t xml:space="preserve">A demo that runs on any machine in under five minutes</w:t>
            </w:r>
          </w:p>
        </w:tc>
        <w:tc>
          <w:p>
            <w:pPr>
              <w:pStyle w:val="Compact"/>
              <w:jc w:val="left"/>
            </w:pPr>
            <w:r>
              <w:t xml:space="preserve">Project engineer</w:t>
            </w:r>
          </w:p>
        </w:tc>
      </w:tr>
      <w:tr>
        <w:tc>
          <w:p>
            <w:pPr>
              <w:pStyle w:val="Compact"/>
              <w:jc w:val="left"/>
            </w:pPr>
            <w:r>
              <w:t xml:space="preserve">New engineer</w:t>
            </w:r>
          </w:p>
        </w:tc>
        <w:tc>
          <w:p>
            <w:pPr>
              <w:pStyle w:val="Compact"/>
              <w:jc w:val="left"/>
            </w:pPr>
            <w:r>
              <w:t xml:space="preserve">Bring-up from documentation alone</w:t>
            </w:r>
          </w:p>
        </w:tc>
        <w:tc>
          <w:p>
            <w:pPr>
              <w:pStyle w:val="Compact"/>
              <w:jc w:val="left"/>
            </w:pPr>
            <w:r>
              <w:t xml:space="preserve">Whoever inherits the repository</w:t>
            </w:r>
          </w:p>
        </w:tc>
      </w:tr>
    </w:tbl>
    <w:p>
      <w:pPr>
        <w:pStyle w:val="Heading1"/>
      </w:pPr>
      <w:bookmarkStart w:id="29" w:name="scope"/>
      <w:r>
        <w:t xml:space="preserve">3. Scope</w:t>
      </w:r>
      <w:bookmarkEnd w:id="29"/>
    </w:p>
    <w:p>
      <w:pPr>
        <w:pStyle w:val="FirstParagraph"/>
      </w:pPr>
      <w:r>
        <w:rPr>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p>
      <w:pPr>
        <w:pStyle w:val="Heading2"/>
      </w:pPr>
      <w:bookmarkStart w:id="30" w:name="delivery-plan"/>
      <w:r>
        <w:t xml:space="preserve">3.1 Delivery plan</w:t>
      </w:r>
      <w:bookmarkEnd w:id="30"/>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1" name="Picture"/>
            <a:graphic>
              <a:graphicData uri="http://schemas.openxmlformats.org/drawingml/2006/picture">
                <pic:pic>
                  <pic:nvPicPr>
                    <pic:cNvPr descr="diagrams/delivery-plan.png" id="0"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p>
      <w:pPr>
        <w:pStyle w:val="Heading1"/>
      </w:pPr>
      <w:bookmarkStart w:id="32" w:name="stakeholder-needs"/>
      <w:r>
        <w:t xml:space="preserve">4. Stakeholder needs</w:t>
      </w:r>
      <w:bookmarkEnd w:id="32"/>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0"/>
        <w:tblLook w:firstRow="1"/>
      </w:tblPr>
      <w:tblGrid>
        <w:gridCol w:w="633"/>
        <w:gridCol w:w="4118"/>
        <w:gridCol w:w="316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Need</w:t>
            </w:r>
          </w:p>
        </w:tc>
        <w:tc>
          <w:tcPr>
            <w:tcBorders>
              <w:bottom w:val="single"/>
            </w:tcBorders>
            <w:vAlign w:val="bottom"/>
          </w:tcPr>
          <w:p>
            <w:pPr>
              <w:pStyle w:val="Compact"/>
              <w:jc w:val="left"/>
            </w:pPr>
            <w:r>
              <w:t xml:space="preserve">Driver</w:t>
            </w:r>
          </w:p>
        </w:tc>
      </w:tr>
      <w:tr>
        <w:tc>
          <w:p>
            <w:pPr>
              <w:pStyle w:val="Compact"/>
              <w:jc w:val="left"/>
            </w:pPr>
            <w:r>
              <w:t xml:space="preserve">SN-1</w:t>
            </w:r>
          </w:p>
        </w:tc>
        <w:tc>
          <w:p>
            <w:pPr>
              <w:pStyle w:val="Compact"/>
              <w:jc w:val="left"/>
            </w:pPr>
            <w:r>
              <w:t xml:space="preserve">Decide the cluster toolkit on measured evidence, with application cost separated from platform cost</w:t>
            </w:r>
          </w:p>
        </w:tc>
        <w:tc>
          <w:p>
            <w:pPr>
              <w:pStyle w:val="Compact"/>
              <w:jc w:val="left"/>
            </w:pPr>
            <w:r>
              <w:t xml:space="preserve">Toolkit decisions are made years before hardware is fixed</w:t>
            </w:r>
          </w:p>
        </w:tc>
      </w:tr>
      <w:tr>
        <w:tc>
          <w:p>
            <w:pPr>
              <w:pStyle w:val="Compact"/>
              <w:jc w:val="left"/>
            </w:pPr>
            <w:r>
              <w:t xml:space="preserve">SN-2</w:t>
            </w:r>
          </w:p>
        </w:tc>
        <w:tc>
          <w:p>
            <w:pPr>
              <w:pStyle w:val="Compact"/>
              <w:jc w:val="left"/>
            </w:pPr>
            <w:r>
              <w:t xml:space="preserve">Build in-house competence in the hybrid cockpit pattern: one broker, a Linux cluster, an Android surface</w:t>
            </w:r>
          </w:p>
        </w:tc>
        <w:tc>
          <w:p>
            <w:pPr>
              <w:pStyle w:val="Compact"/>
              <w:jc w:val="left"/>
            </w:pPr>
            <w:r>
              <w:t xml:space="preserve">The pattern will land in a production programme</w:t>
            </w:r>
          </w:p>
        </w:tc>
      </w:tr>
      <w:tr>
        <w:tc>
          <w:p>
            <w:pPr>
              <w:pStyle w:val="Compact"/>
              <w:jc w:val="left"/>
            </w:pPr>
            <w:r>
              <w:t xml:space="preserve">SN-3</w:t>
            </w:r>
          </w:p>
        </w:tc>
        <w:tc>
          <w:p>
            <w:pPr>
              <w:pStyle w:val="Compact"/>
              <w:jc w:val="left"/>
            </w:pPr>
            <w:r>
              <w:t xml:space="preserve">An HMI decoupled from the vehicle bus so a platform change does not restart HMI work</w:t>
            </w:r>
          </w:p>
        </w:tc>
        <w:tc>
          <w:p>
            <w:pPr>
              <w:pStyle w:val="Compact"/>
              <w:jc w:val="left"/>
            </w:pPr>
            <w:r>
              <w:t xml:space="preserve">HMI rework on every bus or ECU change</w:t>
            </w:r>
          </w:p>
        </w:tc>
      </w:tr>
      <w:tr>
        <w:tc>
          <w:p>
            <w:pPr>
              <w:pStyle w:val="Compact"/>
              <w:jc w:val="left"/>
            </w:pPr>
            <w:r>
              <w:t xml:space="preserve">SN-4</w:t>
            </w:r>
          </w:p>
        </w:tc>
        <w:tc>
          <w:p>
            <w:pPr>
              <w:pStyle w:val="Compact"/>
              <w:jc w:val="left"/>
            </w:pPr>
            <w:r>
              <w:t xml:space="preserve">A demonstrator presentable to a non-technical audience in under five minutes</w:t>
            </w:r>
          </w:p>
        </w:tc>
        <w:tc>
          <w:p>
            <w:pPr>
              <w:pStyle w:val="Compact"/>
              <w:jc w:val="left"/>
            </w:pPr>
            <w:r>
              <w:t xml:space="preserve">Sponsor reviews and stakeholder demos</w:t>
            </w:r>
          </w:p>
        </w:tc>
      </w:tr>
      <w:tr>
        <w:tc>
          <w:p>
            <w:pPr>
              <w:pStyle w:val="Compact"/>
              <w:jc w:val="left"/>
            </w:pPr>
            <w:r>
              <w:t xml:space="preserve">SN-5</w:t>
            </w:r>
          </w:p>
        </w:tc>
        <w:tc>
          <w:p>
            <w:pPr>
              <w:pStyle w:val="Compact"/>
              <w:jc w:val="left"/>
            </w:pPr>
            <w:r>
              <w:t xml:space="preserve">Competence that outlives the project: a new engineer brings the stack up from documentation alone</w:t>
            </w:r>
          </w:p>
        </w:tc>
        <w:tc>
          <w:p>
            <w:pPr>
              <w:pStyle w:val="Compact"/>
              <w:jc w:val="left"/>
            </w:pPr>
            <w:r>
              <w:t xml:space="preserve">Key-person risk</w:t>
            </w:r>
          </w:p>
        </w:tc>
      </w:tr>
      <w:tr>
        <w:tc>
          <w:p>
            <w:pPr>
              <w:pStyle w:val="Compact"/>
              <w:jc w:val="left"/>
            </w:pPr>
            <w:r>
              <w:t xml:space="preserve">SN-6</w:t>
            </w:r>
          </w:p>
        </w:tc>
        <w:tc>
          <w:p>
            <w:pPr>
              <w:pStyle w:val="Compact"/>
              <w:jc w:val="left"/>
            </w:pPr>
            <w:r>
              <w:t xml:space="preserve">Compliance readiness: the safety and security artefacts a production programme would ask for, produced while building rather than retrofitted</w:t>
            </w:r>
          </w:p>
        </w:tc>
        <w:tc>
          <w:p>
            <w:pPr>
              <w:pStyle w:val="Compact"/>
              <w:jc w:val="left"/>
            </w:pPr>
            <w:r>
              <w:t xml:space="preserve">ISO 26262, ISO/SAE 21434, UNECE R155 and R156</w:t>
            </w:r>
          </w:p>
        </w:tc>
      </w:tr>
      <w:tr>
        <w:tc>
          <w:p>
            <w:pPr>
              <w:pStyle w:val="Compact"/>
              <w:jc w:val="left"/>
            </w:pPr>
            <w:r>
              <w:t xml:space="preserve">SN-7</w:t>
            </w:r>
          </w:p>
        </w:tc>
        <w:tc>
          <w:p>
            <w:pPr>
              <w:pStyle w:val="Compact"/>
              <w:jc w:val="left"/>
            </w:pPr>
            <w:r>
              <w:t xml:space="preserve">A closed loop, not a dashboard light: perception feeds a vehicle reaction through the same signal path the cluster renders</w:t>
            </w:r>
          </w:p>
        </w:tc>
        <w:tc>
          <w:p>
            <w:pPr>
              <w:pStyle w:val="Compact"/>
              <w:jc w:val="left"/>
            </w:pPr>
            <w:r>
              <w:t xml:space="preserve">Autonomy programmes need take-over readiness, not only display</w:t>
            </w:r>
          </w:p>
        </w:tc>
      </w:tr>
    </w:tbl>
    <w:p>
      <w:pPr>
        <w:pStyle w:val="Heading1"/>
      </w:pPr>
      <w:bookmarkStart w:id="33" w:name="constraints-and-assumptions"/>
      <w:r>
        <w:t xml:space="preserve">5. Constraints and assumptions</w:t>
      </w:r>
      <w:bookmarkEnd w:id="33"/>
    </w:p>
    <w:tbl>
      <w:tblPr>
        <w:tblStyle w:val="Table"/>
        <w:tblW w:type="pct" w:w="5000.0"/>
        <w:tblLook w:firstRow="1"/>
      </w:tblPr>
      <w:tblGrid>
        <w:gridCol w:w="633"/>
        <w:gridCol w:w="7286"/>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Statement</w:t>
            </w:r>
          </w:p>
        </w:tc>
      </w:tr>
      <w:tr>
        <w:tc>
          <w:p>
            <w:pPr>
              <w:pStyle w:val="Compact"/>
              <w:jc w:val="left"/>
            </w:pPr>
            <w:r>
              <w:t xml:space="preserve">C-1</w:t>
            </w:r>
          </w:p>
        </w:tc>
        <w:tc>
          <w:p>
            <w:pPr>
              <w:pStyle w:val="Compact"/>
              <w:jc w:val="left"/>
            </w:pPr>
            <w:r>
              <w:t xml:space="preserve">Development and demonstration occur on desk hardware. No vehicle is available.</w:t>
            </w:r>
          </w:p>
        </w:tc>
      </w:tr>
      <w:tr>
        <w:tc>
          <w:p>
            <w:pPr>
              <w:pStyle w:val="Compact"/>
              <w:jc w:val="left"/>
            </w:pPr>
            <w:r>
              <w:t xml:space="preserve">C-2</w:t>
            </w:r>
          </w:p>
        </w:tc>
        <w:tc>
          <w:p>
            <w:pPr>
              <w:pStyle w:val="Compact"/>
              <w:jc w:val="left"/>
            </w:pPr>
            <w:r>
              <w:t xml:space="preserve">The signal catalogue is fixed to a released version (COVESA VSS 6.0); upgrades are a deliberate, reviewed change.</w:t>
            </w:r>
          </w:p>
        </w:tc>
      </w:tr>
      <w:tr>
        <w:tc>
          <w:p>
            <w:pPr>
              <w:pStyle w:val="Compact"/>
              <w:jc w:val="left"/>
            </w:pPr>
            <w:r>
              <w:t xml:space="preserve">C-3</w:t>
            </w:r>
          </w:p>
        </w:tc>
        <w:tc>
          <w:p>
            <w:pPr>
              <w:pStyle w:val="Compact"/>
              <w:jc w:val="left"/>
            </w:pPr>
            <w:r>
              <w:t xml:space="preserve">Both HMI implementations must be reachable by one engineer; toolkit familiarity cannot be assumed for either.</w:t>
            </w:r>
          </w:p>
        </w:tc>
      </w:tr>
      <w:tr>
        <w:tc>
          <w:p>
            <w:pPr>
              <w:pStyle w:val="Compact"/>
              <w:jc w:val="left"/>
            </w:pPr>
            <w:r>
              <w:t xml:space="preserve">C-4</w:t>
            </w:r>
          </w:p>
        </w:tc>
        <w:tc>
          <w:p>
            <w:pPr>
              <w:pStyle w:val="Compact"/>
              <w:jc w:val="left"/>
            </w:pPr>
            <w:r>
              <w:t xml:space="preserve">The demonstrator must be presentable to a non-technical audience in under five minutes.</w:t>
            </w:r>
          </w:p>
        </w:tc>
      </w:tr>
      <w:tr>
        <w:tc>
          <w:p>
            <w:pPr>
              <w:pStyle w:val="Compact"/>
              <w:jc w:val="left"/>
            </w:pPr>
            <w:r>
              <w:t xml:space="preserve">C-5</w:t>
            </w:r>
          </w:p>
        </w:tc>
        <w:tc>
          <w:p>
            <w:pPr>
              <w:pStyle w:val="Compact"/>
              <w:jc w:val="left"/>
            </w:pPr>
            <w:r>
              <w:t xml:space="preserve">Two engineers at 40 hours a week for twelve weeks, 960 hours including 120 hours contingency.</w:t>
            </w:r>
          </w:p>
        </w:tc>
      </w:tr>
      <w:tr>
        <w:tc>
          <w:p>
            <w:pPr>
              <w:pStyle w:val="Compact"/>
              <w:jc w:val="left"/>
            </w:pPr>
            <w:r>
              <w:t xml:space="preserve">A-1</w:t>
            </w:r>
          </w:p>
        </w:tc>
        <w:tc>
          <w:p>
            <w:pPr>
              <w:pStyle w:val="Compact"/>
              <w:jc w:val="left"/>
            </w:pPr>
            <w:r>
              <w:t xml:space="preserve">A future programme will supply real vehicle data via a CAN feeder.</w:t>
            </w:r>
          </w:p>
        </w:tc>
      </w:tr>
      <w:tr>
        <w:tc>
          <w:p>
            <w:pPr>
              <w:pStyle w:val="Compact"/>
              <w:jc w:val="left"/>
            </w:pPr>
            <w:r>
              <w:t xml:space="preserve">A-2</w:t>
            </w:r>
          </w:p>
        </w:tc>
        <w:tc>
          <w:p>
            <w:pPr>
              <w:pStyle w:val="Compact"/>
              <w:jc w:val="left"/>
            </w:pPr>
            <w:r>
              <w:t xml:space="preserve">Target deployment hardware is not yet selected; the design must not presuppose it.</w:t>
            </w:r>
          </w:p>
        </w:tc>
      </w:tr>
      <w:tr>
        <w:tc>
          <w:p>
            <w:pPr>
              <w:pStyle w:val="Compact"/>
              <w:jc w:val="left"/>
            </w:pPr>
            <w:r>
              <w:t xml:space="preserve">A-3</w:t>
            </w:r>
          </w:p>
        </w:tc>
        <w:tc>
          <w:p>
            <w:pPr>
              <w:pStyle w:val="Compact"/>
              <w:jc w:val="left"/>
            </w:pPr>
            <w:r>
              <w:t xml:space="preserve">The sponsor accepts emulator-derived Android Automotive measurements as directionally sound until target hardware exists.</w:t>
            </w:r>
          </w:p>
        </w:tc>
      </w:tr>
    </w:tbl>
    <w:p>
      <w:pPr>
        <w:pStyle w:val="Heading1"/>
      </w:pPr>
      <w:bookmarkStart w:id="34" w:name="user-stories"/>
      <w:r>
        <w:t xml:space="preserve">6. User stories</w:t>
      </w:r>
      <w:bookmarkEnd w:id="34"/>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1" name="Picture"/>
            <a:graphic>
              <a:graphicData uri="http://schemas.openxmlformats.org/drawingml/2006/picture">
                <pic:pic>
                  <pic:nvPicPr>
                    <pic:cNvPr descr="diagrams/needs-epics.png" id="0" name="Picture"/>
                    <pic:cNvPicPr>
                      <a:picLocks noChangeArrowheads="1" noChangeAspect="1"/>
                    </pic:cNvPicPr>
                  </pic:nvPicPr>
                  <pic:blipFill>
                    <a:blip r:embed="rId35"/>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p>
      <w:pPr>
        <w:pStyle w:val="Heading2"/>
      </w:pPr>
      <w:bookmarkStart w:id="36" w:name="epic-a-vehicle-data-platform"/>
      <w:r>
        <w:t xml:space="preserve">Epic A: Vehicle data platform</w:t>
      </w:r>
      <w:bookmarkEnd w:id="36"/>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w:t>
            </w:r>
          </w:p>
        </w:tc>
        <w:tc>
          <w:p>
            <w:pPr>
              <w:pStyle w:val="Compact"/>
              <w:jc w:val="left"/>
            </w:pPr>
            <w:r>
              <w:t xml:space="preserve">As an HMI developer, I want every vehicle value available as a named VSS signal, so that I never touch bus formats or hardware decoding.</w:t>
            </w:r>
          </w:p>
        </w:tc>
        <w:tc>
          <w:p>
            <w:pPr>
              <w:pStyle w:val="Compact"/>
              <w:jc w:val="left"/>
            </w:pPr>
            <w:r>
              <w:t xml:space="preserve">Cluster code contains no CAN/DBC references; all reads go through broker subscriptions.</w:t>
            </w:r>
          </w:p>
        </w:tc>
        <w:tc>
          <w:p>
            <w:pPr>
              <w:pStyle w:val="Compact"/>
              <w:jc w:val="left"/>
            </w:pPr>
            <w:r>
              <w:t xml:space="preserve">SN-3, FR-1, FR-11</w:t>
            </w:r>
          </w:p>
        </w:tc>
      </w:tr>
      <w:tr>
        <w:tc>
          <w:p>
            <w:pPr>
              <w:pStyle w:val="Compact"/>
              <w:jc w:val="left"/>
            </w:pPr>
            <w:r>
              <w:t xml:space="preserve">US-2</w:t>
            </w:r>
          </w:p>
        </w:tc>
        <w:tc>
          <w:p>
            <w:pPr>
              <w:pStyle w:val="Compact"/>
              <w:jc w:val="left"/>
            </w:pPr>
            <w:r>
              <w:t xml:space="preserve">As a platform engineer, I want domain signals added as VSS overlays, so that we stay compatible with the upstream catalogue.</w:t>
            </w:r>
          </w:p>
        </w:tc>
        <w:tc>
          <w:p>
            <w:pPr>
              <w:pStyle w:val="Compact"/>
              <w:jc w:val="left"/>
            </w:pPr>
            <w:r>
              <w:t xml:space="preserve">Overlay files build with the standard tooling; upstream spec is unmodified.</w:t>
            </w:r>
          </w:p>
        </w:tc>
        <w:tc>
          <w:p>
            <w:pPr>
              <w:pStyle w:val="Compact"/>
              <w:jc w:val="left"/>
            </w:pPr>
            <w:r>
              <w:t xml:space="preserve">SN-2, FR-2, FR-3</w:t>
            </w:r>
          </w:p>
        </w:tc>
      </w:tr>
      <w:tr>
        <w:tc>
          <w:p>
            <w:pPr>
              <w:pStyle w:val="Compact"/>
              <w:jc w:val="left"/>
            </w:pPr>
            <w:r>
              <w:t xml:space="preserve">US-3</w:t>
            </w:r>
          </w:p>
        </w:tc>
        <w:tc>
          <w:p>
            <w:pPr>
              <w:pStyle w:val="Compact"/>
              <w:jc w:val="left"/>
            </w:pPr>
            <w:r>
              <w:t xml:space="preserve">As an integrator, I want producers and consumers to meet only at the broker, so that either side can be swapped without touching the other.</w:t>
            </w:r>
          </w:p>
        </w:tc>
        <w:tc>
          <w:p>
            <w:pPr>
              <w:pStyle w:val="Compact"/>
              <w:jc w:val="left"/>
            </w:pPr>
            <w:r>
              <w:t xml:space="preserve">Simulator replaced by another provider with zero HMI changes.</w:t>
            </w:r>
          </w:p>
        </w:tc>
        <w:tc>
          <w:p>
            <w:pPr>
              <w:pStyle w:val="Compact"/>
              <w:jc w:val="left"/>
            </w:pPr>
            <w:r>
              <w:t xml:space="preserve">SN-3, FR-5, FR-8</w:t>
            </w:r>
          </w:p>
        </w:tc>
      </w:tr>
    </w:tbl>
    <w:p>
      <w:pPr>
        <w:pStyle w:val="Heading2"/>
      </w:pPr>
      <w:bookmarkStart w:id="37" w:name="epic-b-telemetry"/>
      <w:r>
        <w:t xml:space="preserve">Epic B: Telemetry</w:t>
      </w:r>
      <w:bookmarkEnd w:id="37"/>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US-4</w:t>
            </w:r>
          </w:p>
        </w:tc>
        <w:tc>
          <w:p>
            <w:pPr>
              <w:pStyle w:val="Compact"/>
              <w:jc w:val="left"/>
            </w:pPr>
            <w:r>
              <w:t xml:space="preserve">As a demonstrator, I want a realistic drive cycle without a vehicle, so that the cluster behaves plausibly on a desk.</w:t>
            </w:r>
          </w:p>
        </w:tc>
        <w:tc>
          <w:p>
            <w:pPr>
              <w:pStyle w:val="Compact"/>
              <w:jc w:val="left"/>
            </w:pPr>
            <w:r>
              <w:t xml:space="preserve">Speed, RPM, gear, fuel and temperature evolve consistently with each other.</w:t>
            </w:r>
          </w:p>
        </w:tc>
        <w:tc>
          <w:p>
            <w:pPr>
              <w:pStyle w:val="Compact"/>
              <w:jc w:val="left"/>
            </w:pPr>
            <w:r>
              <w:t xml:space="preserve">SN-4, FR-6</w:t>
            </w:r>
          </w:p>
        </w:tc>
      </w:tr>
      <w:tr>
        <w:tc>
          <w:p>
            <w:pPr>
              <w:pStyle w:val="Compact"/>
              <w:jc w:val="left"/>
            </w:pPr>
            <w:r>
              <w:t xml:space="preserve">US-5</w:t>
            </w:r>
          </w:p>
        </w:tc>
        <w:tc>
          <w:p>
            <w:pPr>
              <w:pStyle w:val="Compact"/>
              <w:jc w:val="left"/>
            </w:pPr>
            <w:r>
              <w:t xml:space="preserve">As an evaluator, I want the same cycle to replay identically, so that measurements of the two HMIs are comparable.</w:t>
            </w:r>
          </w:p>
        </w:tc>
        <w:tc>
          <w:p>
            <w:pPr>
              <w:pStyle w:val="Compact"/>
              <w:jc w:val="left"/>
            </w:pPr>
            <w:r>
              <w:t xml:space="preserve">Two runs produce the same signal sequence.</w:t>
            </w:r>
          </w:p>
        </w:tc>
        <w:tc>
          <w:p>
            <w:pPr>
              <w:pStyle w:val="Compact"/>
              <w:jc w:val="left"/>
            </w:pPr>
            <w:r>
              <w:t xml:space="preserve">SN-1, FR-7, NFR-7</w:t>
            </w:r>
          </w:p>
        </w:tc>
      </w:tr>
    </w:tbl>
    <w:p>
      <w:pPr>
        <w:pStyle w:val="Heading2"/>
      </w:pPr>
      <w:bookmarkStart w:id="38" w:name="epic-c-cluster-hmi"/>
      <w:r>
        <w:t xml:space="preserve">Epic C: Cluster HMI</w:t>
      </w:r>
      <w:bookmarkEnd w:id="38"/>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US-6</w:t>
            </w:r>
          </w:p>
        </w:tc>
        <w:tc>
          <w:p>
            <w:pPr>
              <w:pStyle w:val="Compact"/>
              <w:jc w:val="left"/>
            </w:pPr>
            <w:r>
              <w:t xml:space="preserve">As a driver, I want speed, RPM, gear, fuel and tyre pressures at a glance, so that I can read the vehicle state in under a second.</w:t>
            </w:r>
          </w:p>
        </w:tc>
        <w:tc>
          <w:p>
            <w:pPr>
              <w:pStyle w:val="Compact"/>
              <w:jc w:val="left"/>
            </w:pPr>
            <w:r>
              <w:t xml:space="preserve">Primary values legible in a sub-second glance on the strip display.</w:t>
            </w:r>
          </w:p>
        </w:tc>
        <w:tc>
          <w:p>
            <w:pPr>
              <w:pStyle w:val="Compact"/>
              <w:jc w:val="left"/>
            </w:pPr>
            <w:r>
              <w:t xml:space="preserve">SN-4, FR-9, NFR-2</w:t>
            </w:r>
          </w:p>
        </w:tc>
      </w:tr>
      <w:tr>
        <w:tc>
          <w:p>
            <w:pPr>
              <w:pStyle w:val="Compact"/>
              <w:jc w:val="left"/>
            </w:pPr>
            <w:r>
              <w:t xml:space="preserve">US-7</w:t>
            </w:r>
          </w:p>
        </w:tc>
        <w:tc>
          <w:p>
            <w:pPr>
              <w:pStyle w:val="Compact"/>
              <w:jc w:val="left"/>
            </w:pPr>
            <w:r>
              <w:t xml:space="preserve">As a race engineer, I want lap, DRS and ERS state on the cluster, so that motorsport telemetry is visible live.</w:t>
            </w:r>
          </w:p>
        </w:tc>
        <w:tc>
          <w:p>
            <w:pPr>
              <w:pStyle w:val="Compact"/>
              <w:jc w:val="left"/>
            </w:pPr>
            <w:r>
              <w:t xml:space="preserve">Lap number and time, DRS and ERS render and update from broker signals.</w:t>
            </w:r>
          </w:p>
        </w:tc>
        <w:tc>
          <w:p>
            <w:pPr>
              <w:pStyle w:val="Compact"/>
              <w:jc w:val="left"/>
            </w:pPr>
            <w:r>
              <w:t xml:space="preserve">SN-4, FR-10</w:t>
            </w:r>
          </w:p>
        </w:tc>
      </w:tr>
      <w:tr>
        <w:tc>
          <w:p>
            <w:pPr>
              <w:pStyle w:val="Compact"/>
              <w:jc w:val="left"/>
            </w:pPr>
            <w:r>
              <w:t xml:space="preserve">US-8</w:t>
            </w:r>
          </w:p>
        </w:tc>
        <w:tc>
          <w:p>
            <w:pPr>
              <w:pStyle w:val="Compact"/>
              <w:jc w:val="left"/>
            </w:pPr>
            <w:r>
              <w:t xml:space="preserve">As a stakeholder, I want the same design built in Flutter and Compose from one signal source, so that the platform comparison is fair.</w:t>
            </w:r>
          </w:p>
        </w:tc>
        <w:tc>
          <w:p>
            <w:pPr>
              <w:pStyle w:val="Compact"/>
              <w:jc w:val="left"/>
            </w:pPr>
            <w:r>
              <w:t xml:space="preserve">Both clusters run side by side from the identical broker feed.</w:t>
            </w:r>
          </w:p>
        </w:tc>
        <w:tc>
          <w:p>
            <w:pPr>
              <w:pStyle w:val="Compact"/>
              <w:jc w:val="left"/>
            </w:pPr>
            <w:r>
              <w:t xml:space="preserve">SN-1, SN-2, FR-12, FR-13</w:t>
            </w:r>
          </w:p>
        </w:tc>
      </w:tr>
      <w:tr>
        <w:tc>
          <w:p>
            <w:pPr>
              <w:pStyle w:val="Compact"/>
              <w:jc w:val="left"/>
            </w:pPr>
            <w:r>
              <w:t xml:space="preserve">US-9</w:t>
            </w:r>
          </w:p>
        </w:tc>
        <w:tc>
          <w:p>
            <w:pPr>
              <w:pStyle w:val="Compact"/>
              <w:jc w:val="left"/>
            </w:pPr>
            <w:r>
              <w:t xml:space="preserve">As a presenter, I want the cluster full-screen on the strip display but windowed elsewhere, so that the demo works on any machine.</w:t>
            </w:r>
          </w:p>
        </w:tc>
        <w:tc>
          <w:p>
            <w:pPr>
              <w:pStyle w:val="Compact"/>
              <w:jc w:val="left"/>
            </w:pPr>
            <w:r>
              <w:t xml:space="preserve">Full-screen on the 2560 x 720 panel; graceful window fallback.</w:t>
            </w:r>
          </w:p>
        </w:tc>
        <w:tc>
          <w:p>
            <w:pPr>
              <w:pStyle w:val="Compact"/>
              <w:jc w:val="left"/>
            </w:pPr>
            <w:r>
              <w:t xml:space="preserve">SN-4, FR-14, IR-3, IR-4</w:t>
            </w:r>
          </w:p>
        </w:tc>
      </w:tr>
    </w:tbl>
    <w:p>
      <w:pPr>
        <w:pStyle w:val="Heading2"/>
      </w:pPr>
      <w:bookmarkStart w:id="39" w:name="epic-d-evidence"/>
      <w:r>
        <w:t xml:space="preserve">Epic D: Evidence</w:t>
      </w:r>
      <w:bookmarkEnd w:id="39"/>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US-10</w:t>
            </w:r>
          </w:p>
        </w:tc>
        <w:tc>
          <w:p>
            <w:pPr>
              <w:pStyle w:val="Compact"/>
              <w:jc w:val="left"/>
            </w:pPr>
            <w:r>
              <w:t xml:space="preserve">As the sponsor, I want application cost separated from platform cost, so that the toolkit decision and the hardware bill are decided on evidence.</w:t>
            </w:r>
          </w:p>
        </w:tc>
        <w:tc>
          <w:p>
            <w:pPr>
              <w:pStyle w:val="Compact"/>
              <w:jc w:val="left"/>
            </w:pPr>
            <w:r>
              <w:t xml:space="preserve">CPU, memory and artefact size reported per app and per platform, reproducible from the repository.</w:t>
            </w:r>
          </w:p>
        </w:tc>
        <w:tc>
          <w:p>
            <w:pPr>
              <w:pStyle w:val="Compact"/>
              <w:jc w:val="left"/>
            </w:pPr>
            <w:r>
              <w:t xml:space="preserve">SN-1, FR-15, FR-16, FR-17, NFR-3</w:t>
            </w:r>
          </w:p>
        </w:tc>
      </w:tr>
      <w:tr>
        <w:tc>
          <w:p>
            <w:pPr>
              <w:pStyle w:val="Compact"/>
              <w:jc w:val="left"/>
            </w:pPr>
            <w:r>
              <w:t xml:space="preserve">US-11</w:t>
            </w:r>
          </w:p>
        </w:tc>
        <w:tc>
          <w:p>
            <w:pPr>
              <w:pStyle w:val="Compact"/>
              <w:jc w:val="left"/>
            </w:pPr>
            <w:r>
              <w:t xml:space="preserve">As a new engineer, I want to bring the stack up from documentation alone, so that the competence outlives the project.</w:t>
            </w:r>
          </w:p>
        </w:tc>
        <w:tc>
          <w:p>
            <w:pPr>
              <w:pStyle w:val="Compact"/>
              <w:jc w:val="left"/>
            </w:pPr>
            <w:r>
              <w:t xml:space="preserve">Clean-machine bring-up succeeds using only the README and onboarding guide.</w:t>
            </w:r>
          </w:p>
        </w:tc>
        <w:tc>
          <w:p>
            <w:pPr>
              <w:pStyle w:val="Compact"/>
              <w:jc w:val="left"/>
            </w:pPr>
            <w:r>
              <w:t xml:space="preserve">SN-5, NFR-5</w:t>
            </w:r>
          </w:p>
        </w:tc>
      </w:tr>
    </w:tbl>
    <w:p>
      <w:pPr>
        <w:pStyle w:val="Heading2"/>
      </w:pPr>
      <w:bookmarkStart w:id="40" w:name="epic-e-driver-monitoring-and-closed-loop"/>
      <w:r>
        <w:t xml:space="preserve">Epic E: Driver monitoring and closed loop</w:t>
      </w:r>
      <w:bookmarkEnd w:id="40"/>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US-12</w:t>
            </w:r>
          </w:p>
        </w:tc>
        <w:tc>
          <w:p>
            <w:pPr>
              <w:pStyle w:val="Compact"/>
              <w:jc w:val="left"/>
            </w:pPr>
            <w:r>
              <w:t xml:space="preserve">As a driver, I want the cluster to warn me when I am drowsy or distracted, so that I regain attention before anything else happens.</w:t>
            </w:r>
          </w:p>
        </w:tc>
        <w:tc>
          <w:p>
            <w:pPr>
              <w:pStyle w:val="Compact"/>
              <w:jc w:val="left"/>
            </w:pPr>
            <w:r>
              <w:t xml:space="preserve">Alert banner appears within the alert hold time of sustained eye closure or off-road head pose; clears when attention returns.</w:t>
            </w:r>
          </w:p>
        </w:tc>
        <w:tc>
          <w:p>
            <w:pPr>
              <w:pStyle w:val="Compact"/>
              <w:jc w:val="left"/>
            </w:pPr>
            <w:r>
              <w:t xml:space="preserve">SN-7, FR-18, FR-19, FR-21</w:t>
            </w:r>
          </w:p>
        </w:tc>
      </w:tr>
      <w:tr>
        <w:tc>
          <w:p>
            <w:pPr>
              <w:pStyle w:val="Compact"/>
              <w:jc w:val="left"/>
            </w:pPr>
            <w:r>
              <w:t xml:space="preserve">US-13</w:t>
            </w:r>
          </w:p>
        </w:tc>
        <w:tc>
          <w:p>
            <w:pPr>
              <w:pStyle w:val="Compact"/>
              <w:jc w:val="left"/>
            </w:pPr>
            <w:r>
              <w:t xml:space="preserve">As a safety engineer, I want sustained drowsiness to trigger a defined minimum-risk manoeuvre with a recovery window, so that detection has a vehicle-level consequence.</w:t>
            </w:r>
          </w:p>
        </w:tc>
        <w:tc>
          <w:p>
            <w:pPr>
              <w:pStyle w:val="Compact"/>
              <w:jc w:val="left"/>
            </w:pPr>
            <w:r>
              <w:t xml:space="preserve">Countdown shown on the cluster; recovery aborts it; otherwise hazards on and controlled stop; automatic resume after sustained attention.</w:t>
            </w:r>
          </w:p>
        </w:tc>
        <w:tc>
          <w:p>
            <w:pPr>
              <w:pStyle w:val="Compact"/>
              <w:jc w:val="left"/>
            </w:pPr>
            <w:r>
              <w:t xml:space="preserve">SN-7, FR-20, SR-7</w:t>
            </w:r>
          </w:p>
        </w:tc>
      </w:tr>
      <w:tr>
        <w:tc>
          <w:p>
            <w:pPr>
              <w:pStyle w:val="Compact"/>
              <w:jc w:val="left"/>
            </w:pPr>
            <w:r>
              <w:t xml:space="preserve">US-14</w:t>
            </w:r>
          </w:p>
        </w:tc>
        <w:tc>
          <w:p>
            <w:pPr>
              <w:pStyle w:val="Compact"/>
              <w:jc w:val="left"/>
            </w:pPr>
            <w:r>
              <w:t xml:space="preserve">As a privacy officer, I want camera frames to stay on the device, so that driver monitoring never becomes surveillance.</w:t>
            </w:r>
          </w:p>
        </w:tc>
        <w:tc>
          <w:p>
            <w:pPr>
              <w:pStyle w:val="Compact"/>
              <w:jc w:val="left"/>
            </w:pPr>
            <w:r>
              <w:t xml:space="preserve">No frame leaves the process or is written to disk; only derived state is published.</w:t>
            </w:r>
          </w:p>
        </w:tc>
        <w:tc>
          <w:p>
            <w:pPr>
              <w:pStyle w:val="Compact"/>
              <w:jc w:val="left"/>
            </w:pPr>
            <w:r>
              <w:t xml:space="preserve">SN-6, CS-6</w:t>
            </w:r>
          </w:p>
        </w:tc>
      </w:tr>
    </w:tbl>
    <w:p>
      <w:pPr>
        <w:pStyle w:val="Heading2"/>
      </w:pPr>
      <w:bookmarkStart w:id="41" w:name="epic-f-compliance-readiness"/>
      <w:r>
        <w:t xml:space="preserve">Epic F: Compliance readiness</w:t>
      </w:r>
      <w:bookmarkEnd w:id="41"/>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US-15</w:t>
            </w:r>
          </w:p>
        </w:tc>
        <w:tc>
          <w:p>
            <w:pPr>
              <w:pStyle w:val="Compact"/>
              <w:jc w:val="left"/>
            </w:pPr>
            <w:r>
              <w:t xml:space="preserve">As a safety manager, I want an item definition, hazard analysis and safety-relevant signal list for the cluster, so that a production programme starts from artefacts instead of from scratch.</w:t>
            </w:r>
          </w:p>
        </w:tc>
        <w:tc>
          <w:p>
            <w:pPr>
              <w:pStyle w:val="Compact"/>
              <w:jc w:val="left"/>
            </w:pPr>
            <w:r>
              <w:t xml:space="preserve">PULSE-SAF-001 exists with item definition, preliminary HARA and signal list, reviewed at a sprint gate.</w:t>
            </w:r>
          </w:p>
        </w:tc>
        <w:tc>
          <w:p>
            <w:pPr>
              <w:pStyle w:val="Compact"/>
              <w:jc w:val="left"/>
            </w:pPr>
            <w:r>
              <w:t xml:space="preserve">SN-6, SR-1, SR-2, SR-3, SR-11</w:t>
            </w:r>
          </w:p>
        </w:tc>
      </w:tr>
      <w:tr>
        <w:tc>
          <w:p>
            <w:pPr>
              <w:pStyle w:val="Compact"/>
              <w:jc w:val="left"/>
            </w:pPr>
            <w:r>
              <w:t xml:space="preserve">US-16</w:t>
            </w:r>
          </w:p>
        </w:tc>
        <w:tc>
          <w:p>
            <w:pPr>
              <w:pStyle w:val="Compact"/>
              <w:jc w:val="left"/>
            </w:pPr>
            <w:r>
              <w:t xml:space="preserve">As a security manager, I want a threat analysis and trust-boundary description for the signal path, so that the desk-only shortcuts are known and removable.</w:t>
            </w:r>
          </w:p>
        </w:tc>
        <w:tc>
          <w:p>
            <w:pPr>
              <w:pStyle w:val="Compact"/>
              <w:jc w:val="left"/>
            </w:pPr>
            <w:r>
              <w:t xml:space="preserve">PULSE-SEC-001 exists with TARA and trust boundaries; each shortcut has a requirement that removes it.</w:t>
            </w:r>
          </w:p>
        </w:tc>
        <w:tc>
          <w:p>
            <w:pPr>
              <w:pStyle w:val="Compact"/>
              <w:jc w:val="left"/>
            </w:pPr>
            <w:r>
              <w:t xml:space="preserve">SN-6, CS-1, CS-2, CS-3</w:t>
            </w:r>
          </w:p>
        </w:tc>
      </w:tr>
      <w:tr>
        <w:tc>
          <w:p>
            <w:pPr>
              <w:pStyle w:val="Compact"/>
              <w:jc w:val="left"/>
            </w:pPr>
            <w:r>
              <w:t xml:space="preserve">US-17</w:t>
            </w:r>
          </w:p>
        </w:tc>
        <w:tc>
          <w:p>
            <w:pPr>
              <w:pStyle w:val="Compact"/>
              <w:jc w:val="left"/>
            </w:pPr>
            <w:r>
              <w:t xml:space="preserve">As a reviewer, I want every requirement traced to a story and a verification, so that I can see what the prototype covers at each sprint gate.</w:t>
            </w:r>
          </w:p>
        </w:tc>
        <w:tc>
          <w:p>
            <w:pPr>
              <w:pStyle w:val="Compact"/>
              <w:jc w:val="left"/>
            </w:pPr>
            <w:r>
              <w:t xml:space="preserve">PULSE-RTM-001 regenerates from the document set with no dangling references.</w:t>
            </w:r>
          </w:p>
        </w:tc>
        <w:tc>
          <w:p>
            <w:pPr>
              <w:pStyle w:val="Compact"/>
              <w:jc w:val="left"/>
            </w:pPr>
            <w:r>
              <w:t xml:space="preserve">SN-6, SR-9</w:t>
            </w:r>
          </w:p>
        </w:tc>
      </w:tr>
    </w:tbl>
    <w:p>
      <w:pPr>
        <w:pStyle w:val="Heading1"/>
      </w:pPr>
      <w:bookmarkStart w:id="42" w:name="acceptance-at-the-sprint-1-review"/>
      <w:r>
        <w:t xml:space="preserve">7. Acceptance at the sprint 1 review</w:t>
      </w:r>
      <w:bookmarkEnd w:id="42"/>
    </w:p>
    <w:p>
      <w:pPr>
        <w:pStyle w:val="FirstParagraph"/>
      </w:pPr>
      <w:r>
        <w:t xml:space="preserve">The week 3 review on 4 September 2026 is the acceptance gate for the sprint 1 release. It is accepted when the following are shown:</w:t>
      </w:r>
    </w:p>
    <w:p>
      <w:pPr>
        <w:pStyle w:val="Compact"/>
        <w:numPr>
          <w:numId w:val="1002"/>
          <w:ilvl w:val="0"/>
        </w:numPr>
      </w:pPr>
      <w:r>
        <w:t xml:space="preserve">The first prototype live: the simulated drive cycle published through the broker and rendered on the Flutter cluster, on the 2560 x 720 strip display.</w:t>
      </w:r>
    </w:p>
    <w:p>
      <w:pPr>
        <w:pStyle w:val="Compact"/>
        <w:numPr>
          <w:numId w:val="1002"/>
          <w:ilvl w:val="0"/>
        </w:numPr>
      </w:pPr>
      <w:r>
        <w:t xml:space="preserve">A walkthrough of this document and PULSE-SyRS-001 with the sponsor, with review comments recorded into the sprint 2 backlog.</w:t>
      </w:r>
    </w:p>
    <w:p>
      <w:pPr>
        <w:pStyle w:val="Compact"/>
        <w:numPr>
          <w:numId w:val="1002"/>
          <w:ilvl w:val="0"/>
        </w:numPr>
      </w:pPr>
      <w:r>
        <w:t xml:space="preserve">PULSE-RTM-001 regenerated on the day, showing per-requirement status at week 3.</w:t>
      </w:r>
    </w:p>
    <w:p>
      <w:pPr>
        <w:pStyle w:val="Compact"/>
        <w:numPr>
          <w:numId w:val="1002"/>
          <w:ilvl w:val="0"/>
        </w:numPr>
      </w:pPr>
      <w:r>
        <w:t xml:space="preserve">The sprint 2 plan: completion of the signal layer and Flutter cluster verification, start of the virtual CAN feeder.</w:t>
      </w:r>
    </w:p>
    <w:p>
      <w:pPr>
        <w:pStyle w:val="Heading1"/>
      </w:pPr>
      <w:bookmarkStart w:id="43" w:name="glossary"/>
      <w:r>
        <w:t xml:space="preserve">8. Glossary</w:t>
      </w:r>
      <w:bookmarkEnd w:id="43"/>
    </w:p>
    <w:tbl>
      <w:tblPr>
        <w:tblStyle w:val="Table"/>
        <w:tblW w:type="pct" w:w="5000.0"/>
        <w:tblLook w:firstRow="1"/>
      </w:tblPr>
      <w:tblGrid>
        <w:gridCol w:w="1188"/>
        <w:gridCol w:w="6732"/>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AAOS</w:t>
            </w:r>
          </w:p>
        </w:tc>
        <w:tc>
          <w:p>
            <w:pPr>
              <w:pStyle w:val="Compact"/>
              <w:jc w:val="left"/>
            </w:pPr>
            <w:r>
              <w:t xml:space="preserve">Android Automotive OS, Android running as the vehicle’s own operating system rather than a projected phone</w:t>
            </w:r>
          </w:p>
        </w:tc>
      </w:tr>
      <w:tr>
        <w:tc>
          <w:p>
            <w:pPr>
              <w:pStyle w:val="Compact"/>
              <w:jc w:val="left"/>
            </w:pPr>
            <w:r>
              <w:t xml:space="preserve">AGL</w:t>
            </w:r>
          </w:p>
        </w:tc>
        <w:tc>
          <w:p>
            <w:pPr>
              <w:pStyle w:val="Compact"/>
              <w:jc w:val="left"/>
            </w:pPr>
            <w:r>
              <w:t xml:space="preserve">Automotive Grade Linux, the Linux Foundation’s shared automotive Linux base</w:t>
            </w:r>
          </w:p>
        </w:tc>
      </w:tr>
      <w:tr>
        <w:tc>
          <w:p>
            <w:pPr>
              <w:pStyle w:val="Compact"/>
              <w:jc w:val="left"/>
            </w:pPr>
            <w:r>
              <w:t xml:space="preserve">Broker</w:t>
            </w:r>
          </w:p>
        </w:tc>
        <w:tc>
          <w:p>
            <w:pPr>
              <w:pStyle w:val="Compact"/>
              <w:jc w:val="left"/>
            </w:pPr>
            <w:r>
              <w:t xml:space="preserve">The Eclipse KUKSA databroker, which serves the VSS tree over gRPC</w:t>
            </w:r>
          </w:p>
        </w:tc>
      </w:tr>
      <w:tr>
        <w:tc>
          <w:p>
            <w:pPr>
              <w:pStyle w:val="Compact"/>
              <w:jc w:val="left"/>
            </w:pPr>
            <w:r>
              <w:t xml:space="preserve">DMS</w:t>
            </w:r>
          </w:p>
        </w:tc>
        <w:tc>
          <w:p>
            <w:pPr>
              <w:pStyle w:val="Compact"/>
              <w:jc w:val="left"/>
            </w:pPr>
            <w:r>
              <w:t xml:space="preserve">Driver monitoring system, here a camera-based edge-AI service</w:t>
            </w:r>
          </w:p>
        </w:tc>
      </w:tr>
      <w:tr>
        <w:tc>
          <w:p>
            <w:pPr>
              <w:pStyle w:val="Compact"/>
              <w:jc w:val="left"/>
            </w:pPr>
            <w:r>
              <w:t xml:space="preserve">DRS, ERS</w:t>
            </w:r>
          </w:p>
        </w:tc>
        <w:tc>
          <w:p>
            <w:pPr>
              <w:pStyle w:val="Compact"/>
              <w:jc w:val="left"/>
            </w:pPr>
            <w:r>
              <w:t xml:space="preserve">Drag reduction system and energy recovery system, motorsport telemetry rendered by the cluster</w:t>
            </w:r>
          </w:p>
        </w:tc>
      </w:tr>
      <w:tr>
        <w:tc>
          <w:p>
            <w:pPr>
              <w:pStyle w:val="Compact"/>
              <w:jc w:val="left"/>
            </w:pPr>
            <w:r>
              <w:t xml:space="preserve">HARA</w:t>
            </w:r>
          </w:p>
        </w:tc>
        <w:tc>
          <w:p>
            <w:pPr>
              <w:pStyle w:val="Compact"/>
              <w:jc w:val="left"/>
            </w:pPr>
            <w:r>
              <w:t xml:space="preserve">Hazard analysis and risk assessment, ISO 26262-3</w:t>
            </w:r>
          </w:p>
        </w:tc>
      </w:tr>
      <w:tr>
        <w:tc>
          <w:p>
            <w:pPr>
              <w:pStyle w:val="Compact"/>
              <w:jc w:val="left"/>
            </w:pPr>
            <w:r>
              <w:t xml:space="preserve">MRM</w:t>
            </w:r>
          </w:p>
        </w:tc>
        <w:tc>
          <w:p>
            <w:pPr>
              <w:pStyle w:val="Compact"/>
              <w:jc w:val="left"/>
            </w:pPr>
            <w:r>
              <w:t xml:space="preserve">Minimum-risk manoeuvre, the controlled stop triggered by sustained drowsiness</w:t>
            </w:r>
          </w:p>
        </w:tc>
      </w:tr>
      <w:tr>
        <w:tc>
          <w:p>
            <w:pPr>
              <w:pStyle w:val="Compact"/>
              <w:jc w:val="left"/>
            </w:pPr>
            <w:r>
              <w:t xml:space="preserve">Overlay</w:t>
            </w:r>
          </w:p>
        </w:tc>
        <w:tc>
          <w:p>
            <w:pPr>
              <w:pStyle w:val="Compact"/>
              <w:jc w:val="left"/>
            </w:pPr>
            <w:r>
              <w:t xml:space="preserve">A VSS mechanism for adding or changing signals without forking the upstream specification</w:t>
            </w:r>
          </w:p>
        </w:tc>
      </w:tr>
      <w:tr>
        <w:tc>
          <w:p>
            <w:pPr>
              <w:pStyle w:val="Compact"/>
              <w:jc w:val="left"/>
            </w:pPr>
            <w:r>
              <w:t xml:space="preserve">Strip display</w:t>
            </w:r>
          </w:p>
        </w:tc>
        <w:tc>
          <w:p>
            <w:pPr>
              <w:pStyle w:val="Compact"/>
              <w:jc w:val="left"/>
            </w:pPr>
            <w:r>
              <w:t xml:space="preserve">A 2560 x 720 automotive-aspect panel; on the desk rig a Corsair Xeneon Edge</w:t>
            </w:r>
          </w:p>
        </w:tc>
      </w:tr>
      <w:tr>
        <w:tc>
          <w:p>
            <w:pPr>
              <w:pStyle w:val="Compact"/>
              <w:jc w:val="left"/>
            </w:pPr>
            <w:r>
              <w:t xml:space="preserve">TARA</w:t>
            </w:r>
          </w:p>
        </w:tc>
        <w:tc>
          <w:p>
            <w:pPr>
              <w:pStyle w:val="Compact"/>
              <w:jc w:val="left"/>
            </w:pPr>
            <w:r>
              <w:t xml:space="preserve">Threat analysis and risk assessment, ISO/SAE 21434</w:t>
            </w:r>
          </w:p>
        </w:tc>
      </w:tr>
      <w:tr>
        <w:tc>
          <w:p>
            <w:pPr>
              <w:pStyle w:val="Compact"/>
              <w:jc w:val="left"/>
            </w:pPr>
            <w:r>
              <w:t xml:space="preserve">VSS</w:t>
            </w:r>
          </w:p>
        </w:tc>
        <w:tc>
          <w:p>
            <w:pPr>
              <w:pStyle w:val="Compact"/>
              <w:jc w:val="left"/>
            </w:pPr>
            <w:r>
              <w:t xml:space="preserve">COVESA Vehicle Signal Specification, the standard signal catalogue</w:t>
            </w:r>
          </w:p>
        </w:tc>
      </w:tr>
      <w:tr>
        <w:tc>
          <w:p>
            <w:pPr>
              <w:pStyle w:val="Compact"/>
              <w:jc w:val="left"/>
            </w:pPr>
            <w:r>
              <w:t xml:space="preserve">ASIL</w:t>
            </w:r>
          </w:p>
        </w:tc>
        <w:tc>
          <w:p>
            <w:pPr>
              <w:pStyle w:val="Compact"/>
              <w:jc w:val="left"/>
            </w:pPr>
            <w:r>
              <w:t xml:space="preserve">Automotive Safety Integrity Level, A to D, ISO 26262. The output of the hazard rating, not a claim about the software</w:t>
            </w:r>
          </w:p>
        </w:tc>
      </w:tr>
      <w:tr>
        <w:tc>
          <w:p>
            <w:pPr>
              <w:pStyle w:val="Compact"/>
              <w:jc w:val="left"/>
            </w:pPr>
            <w:r>
              <w:t xml:space="preserve">S, E, C</w:t>
            </w:r>
          </w:p>
        </w:tc>
        <w:tc>
          <w:p>
            <w:pPr>
              <w:pStyle w:val="Compact"/>
              <w:jc w:val="left"/>
            </w:pPr>
            <w:r>
              <w:t xml:space="preserve">The three hazard ratings that produce an ASIL: severity of harm, exposure to the situation, controllability by the driver</w:t>
            </w:r>
          </w:p>
        </w:tc>
      </w:tr>
      <w:tr>
        <w:tc>
          <w:p>
            <w:pPr>
              <w:pStyle w:val="Compact"/>
              <w:jc w:val="left"/>
            </w:pPr>
            <w:r>
              <w:t xml:space="preserve">SOTIF</w:t>
            </w:r>
          </w:p>
        </w:tc>
        <w:tc>
          <w:p>
            <w:pPr>
              <w:pStyle w:val="Compact"/>
              <w:jc w:val="left"/>
            </w:pPr>
            <w:r>
              <w:t xml:space="preserve">Safety of the intended functionality, ISO 21448. Harm from performance limits rather than from a fault</w:t>
            </w:r>
          </w:p>
        </w:tc>
      </w:tr>
      <w:tr>
        <w:tc>
          <w:p>
            <w:pPr>
              <w:pStyle w:val="Compact"/>
              <w:jc w:val="left"/>
            </w:pPr>
            <w:r>
              <w:t xml:space="preserve">QM element</w:t>
            </w:r>
          </w:p>
        </w:tc>
        <w:tc>
          <w:p>
            <w:pPr>
              <w:pStyle w:val="Compact"/>
              <w:jc w:val="left"/>
            </w:pPr>
            <w:r>
              <w:t xml:space="preserve">A component managed to normal quality practice, with no ASIL claim attached</w:t>
            </w:r>
          </w:p>
        </w:tc>
      </w:tr>
      <w:tr>
        <w:tc>
          <w:p>
            <w:pPr>
              <w:pStyle w:val="Compact"/>
              <w:jc w:val="left"/>
            </w:pPr>
            <w:r>
              <w:t xml:space="preserve">Tool qualification</w:t>
            </w:r>
          </w:p>
        </w:tc>
        <w:tc>
          <w:p>
            <w:pPr>
              <w:pStyle w:val="Compact"/>
              <w:jc w:val="left"/>
            </w:pPr>
            <w:r>
              <w:t xml:space="preserve">Evidence that a development tool cannot silently introduce an error into the product</w:t>
            </w:r>
          </w:p>
        </w:tc>
      </w:tr>
      <w:tr>
        <w:tc>
          <w:p>
            <w:pPr>
              <w:pStyle w:val="Compact"/>
              <w:jc w:val="left"/>
            </w:pPr>
            <w:r>
              <w:t xml:space="preserve">PERCLOS</w:t>
            </w:r>
          </w:p>
        </w:tc>
        <w:tc>
          <w:p>
            <w:pPr>
              <w:pStyle w:val="Compact"/>
              <w:jc w:val="left"/>
            </w:pPr>
            <w:r>
              <w:t xml:space="preserve">Percentage of eye closure over a time window, the standard drowsiness measure</w:t>
            </w:r>
          </w:p>
        </w:tc>
      </w:tr>
      <w:tr>
        <w:tc>
          <w:p>
            <w:pPr>
              <w:pStyle w:val="Compact"/>
              <w:jc w:val="left"/>
            </w:pPr>
            <w:r>
              <w:t xml:space="preserve">Microsleep</w:t>
            </w:r>
          </w:p>
        </w:tc>
        <w:tc>
          <w:p>
            <w:pPr>
              <w:pStyle w:val="Compact"/>
              <w:jc w:val="left"/>
            </w:pPr>
            <w:r>
              <w:t xml:space="preserve">An involuntary lapse into sleep lasting a few seconds, detected here as a sustained eye closure</w:t>
            </w:r>
          </w:p>
        </w:tc>
      </w:tr>
      <w:tr>
        <w:tc>
          <w:p>
            <w:pPr>
              <w:pStyle w:val="Compact"/>
              <w:jc w:val="left"/>
            </w:pPr>
            <w:r>
              <w:t xml:space="preserve">DBC</w:t>
            </w:r>
          </w:p>
        </w:tc>
        <w:tc>
          <w:p>
            <w:pPr>
              <w:pStyle w:val="Compact"/>
              <w:jc w:val="left"/>
            </w:pPr>
            <w:r>
              <w:t xml:space="preserve">The CAN database format that maps raw bus frames to named, scaled values</w:t>
            </w:r>
          </w:p>
        </w:tc>
      </w:tr>
      <w:tr>
        <w:tc>
          <w:p>
            <w:pPr>
              <w:pStyle w:val="Compact"/>
              <w:jc w:val="left"/>
            </w:pPr>
            <w:r>
              <w:t xml:space="preserve">SocketCAN</w:t>
            </w:r>
          </w:p>
        </w:tc>
        <w:tc>
          <w:p>
            <w:pPr>
              <w:pStyle w:val="Compact"/>
              <w:jc w:val="left"/>
            </w:pPr>
            <w:r>
              <w:t xml:space="preserve">The Linux kernel interface that presents a CAN bus as a network socket</w:t>
            </w:r>
          </w:p>
        </w:tc>
      </w:tr>
      <w:tr>
        <w:tc>
          <w:p>
            <w:pPr>
              <w:pStyle w:val="Compact"/>
              <w:jc w:val="left"/>
            </w:pPr>
            <w:r>
              <w:t xml:space="preserve">V4L2</w:t>
            </w:r>
          </w:p>
        </w:tc>
        <w:tc>
          <w:p>
            <w:pPr>
              <w:pStyle w:val="Compact"/>
              <w:jc w:val="left"/>
            </w:pPr>
            <w:r>
              <w:t xml:space="preserve">Video4Linux2, the Linux kernel interface for camera capture</w:t>
            </w:r>
          </w:p>
        </w:tc>
      </w:tr>
      <w:tr>
        <w:tc>
          <w:p>
            <w:pPr>
              <w:pStyle w:val="Compact"/>
              <w:jc w:val="left"/>
            </w:pPr>
            <w:r>
              <w:t xml:space="preserve">BSP</w:t>
            </w:r>
          </w:p>
        </w:tc>
        <w:tc>
          <w:p>
            <w:pPr>
              <w:pStyle w:val="Compact"/>
              <w:jc w:val="left"/>
            </w:pPr>
            <w:r>
              <w:t xml:space="preserve">Board support package, the vendor code that boots Linux on a specific SoC</w:t>
            </w:r>
          </w:p>
        </w:tc>
      </w:tr>
      <w:tr>
        <w:tc>
          <w:p>
            <w:pPr>
              <w:pStyle w:val="Compact"/>
              <w:jc w:val="left"/>
            </w:pPr>
            <w:r>
              <w:t xml:space="preserve">MCAL</w:t>
            </w:r>
          </w:p>
        </w:tc>
        <w:tc>
          <w:p>
            <w:pPr>
              <w:pStyle w:val="Compact"/>
              <w:jc w:val="left"/>
            </w:pPr>
            <w:r>
              <w:t xml:space="preserve">Microcontroller abstraction layer, the lowest AUTOSAR driver layer</w:t>
            </w:r>
          </w:p>
        </w:tc>
      </w:tr>
      <w:tr>
        <w:tc>
          <w:p>
            <w:pPr>
              <w:pStyle w:val="Compact"/>
              <w:jc w:val="left"/>
            </w:pPr>
            <w:r>
              <w:t xml:space="preserve">DRM/KMS</w:t>
            </w:r>
          </w:p>
        </w:tc>
        <w:tc>
          <w:p>
            <w:pPr>
              <w:pStyle w:val="Compact"/>
              <w:jc w:val="left"/>
            </w:pPr>
            <w:r>
              <w:t xml:space="preserve">The Linux kernel display interface a cluster renders through without a desktop</w:t>
            </w:r>
          </w:p>
        </w:tc>
      </w:tr>
      <w:tr>
        <w:tc>
          <w:p>
            <w:pPr>
              <w:pStyle w:val="Compact"/>
              <w:jc w:val="left"/>
            </w:pPr>
            <w:r>
              <w:t xml:space="preserve">SBOM</w:t>
            </w:r>
          </w:p>
        </w:tc>
        <w:tc>
          <w:p>
            <w:pPr>
              <w:pStyle w:val="Compact"/>
              <w:jc w:val="left"/>
            </w:pPr>
            <w:r>
              <w:t xml:space="preserve">Software bill of materials, the list of components shipped in a build</w:t>
            </w:r>
          </w:p>
        </w:tc>
      </w:tr>
      <w:tr>
        <w:tc>
          <w:p>
            <w:pPr>
              <w:pStyle w:val="Compact"/>
              <w:jc w:val="left"/>
            </w:pPr>
            <w:r>
              <w:t xml:space="preserve">CycloneDX</w:t>
            </w:r>
          </w:p>
        </w:tc>
        <w:tc>
          <w:p>
            <w:pPr>
              <w:pStyle w:val="Compact"/>
              <w:jc w:val="left"/>
            </w:pPr>
            <w:r>
              <w:t xml:space="preserve">A standard SBOM file format</w:t>
            </w:r>
          </w:p>
        </w:tc>
      </w:tr>
      <w:tr>
        <w:tc>
          <w:p>
            <w:pPr>
              <w:pStyle w:val="Compact"/>
              <w:jc w:val="left"/>
            </w:pPr>
            <w:r>
              <w:t xml:space="preserve">JWT</w:t>
            </w:r>
          </w:p>
        </w:tc>
        <w:tc>
          <w:p>
            <w:pPr>
              <w:pStyle w:val="Compact"/>
              <w:jc w:val="left"/>
            </w:pPr>
            <w:r>
              <w:t xml:space="preserve">JSON Web Token, a signed token used here to authorise broker clients</w:t>
            </w:r>
          </w:p>
        </w:tc>
      </w:tr>
      <w:tr>
        <w:tc>
          <w:p>
            <w:pPr>
              <w:pStyle w:val="Compact"/>
              <w:jc w:val="left"/>
            </w:pPr>
            <w:r>
              <w:t xml:space="preserve">A/B slots</w:t>
            </w:r>
          </w:p>
        </w:tc>
        <w:tc>
          <w:p>
            <w:pPr>
              <w:pStyle w:val="Compact"/>
              <w:jc w:val="left"/>
            </w:pPr>
            <w:r>
              <w:t xml:space="preserve">Two system partitions, so a failed update falls back to the previous one</w:t>
            </w:r>
          </w:p>
        </w:tc>
      </w:tr>
      <w:tr>
        <w:tc>
          <w:p>
            <w:pPr>
              <w:pStyle w:val="Compact"/>
              <w:jc w:val="left"/>
            </w:pPr>
            <w:r>
              <w:t xml:space="preserve">RXSWIN</w:t>
            </w:r>
          </w:p>
        </w:tc>
        <w:tc>
          <w:p>
            <w:pPr>
              <w:pStyle w:val="Compact"/>
              <w:jc w:val="left"/>
            </w:pPr>
            <w:r>
              <w:t xml:space="preserve">The software identifier a type approval is granted against, UNECE R156</w:t>
            </w:r>
          </w:p>
        </w:tc>
      </w:tr>
      <w:tr>
        <w:tc>
          <w:p>
            <w:pPr>
              <w:pStyle w:val="Compact"/>
              <w:jc w:val="left"/>
            </w:pPr>
            <w:r>
              <w:t xml:space="preserve">SWAD</w:t>
            </w:r>
          </w:p>
        </w:tc>
        <w:tc>
          <w:p>
            <w:pPr>
              <w:pStyle w:val="Compact"/>
              <w:jc w:val="left"/>
            </w:pPr>
            <w:r>
              <w:t xml:space="preserve">Software architecture description, the ASPICE work product PULSE-SAD-001 corresponds to</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2026-09-08T12:03:33Z</dcterms:created>
  <dcterms:modified xsi:type="dcterms:W3CDTF">2026-09-08T12:03:33Z</dcterms:modified>
</cp:coreProperties>
</file>

<file path=docProps/custom.xml><?xml version="1.0" encoding="utf-8"?>
<Properties xmlns="http://schemas.openxmlformats.org/officeDocument/2006/custom-properties" xmlns:vt="http://schemas.openxmlformats.org/officeDocument/2006/docPropsVTypes"/>
</file>