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PULSE-SyRS-001</w:t>
            </w:r>
          </w:p>
        </w:tc>
      </w:tr>
      <w:tr>
        <w:tc>
          <w:tcPr/>
          <w:p>
            <w:pPr>
              <w:pStyle w:val="Compact"/>
              <w:jc w:val="left"/>
            </w:pPr>
            <w:r>
              <w:t xml:space="preserve">Title</w:t>
            </w:r>
          </w:p>
        </w:tc>
        <w:tc>
          <w:tcPr/>
          <w:p>
            <w:pPr>
              <w:pStyle w:val="Compact"/>
              <w:jc w:val="left"/>
            </w:pPr>
            <w:r>
              <w:t xml:space="preserve">System Requirements Specification</w:t>
            </w:r>
          </w:p>
        </w:tc>
      </w:tr>
      <w:tr>
        <w:tc>
          <w:tcPr/>
          <w:p>
            <w:pPr>
              <w:pStyle w:val="Compact"/>
              <w:jc w:val="left"/>
            </w:pPr>
            <w:r>
              <w:t xml:space="preserve">Version</w:t>
            </w:r>
          </w:p>
        </w:tc>
        <w:tc>
          <w:tcPr/>
          <w:p>
            <w:pPr>
              <w:pStyle w:val="Compact"/>
              <w:jc w:val="left"/>
            </w:pPr>
            <w:r>
              <w:t xml:space="preserve">1.5</w:t>
            </w:r>
          </w:p>
        </w:tc>
      </w:tr>
      <w:tr>
        <w:tc>
          <w:tcPr/>
          <w:p>
            <w:pPr>
              <w:pStyle w:val="Compact"/>
              <w:jc w:val="left"/>
            </w:pPr>
            <w:r>
              <w:t xml:space="preserve">Status</w:t>
            </w:r>
          </w:p>
        </w:tc>
        <w:tc>
          <w:tcPr/>
          <w:p>
            <w:pPr>
              <w:pStyle w:val="Compact"/>
              <w:jc w:val="left"/>
            </w:pPr>
            <w:r>
              <w:t xml:space="preserve">Draft frozen for review</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Cockpit Electronics / HMI Platform Group (sponsor)</w:t>
            </w:r>
          </w:p>
        </w:tc>
      </w:tr>
      <w:tr>
        <w:tc>
          <w:tcPr/>
          <w:p>
            <w:pPr>
              <w:pStyle w:val="Compact"/>
              <w:jc w:val="left"/>
            </w:pPr>
            <w:r>
              <w:t xml:space="preserve">Review gate</w:t>
            </w:r>
          </w:p>
        </w:tc>
        <w:tc>
          <w:tcPr/>
          <w:p>
            <w:pPr>
              <w:pStyle w:val="Compact"/>
              <w:jc w:val="left"/>
            </w:pPr>
            <w:r>
              <w:t xml:space="preserve">Sprint 1 review, week 3, 4 September 2026</w:t>
            </w:r>
          </w:p>
        </w:tc>
      </w:tr>
      <w:tr>
        <w:tc>
          <w:tcPr/>
          <w:p>
            <w:pPr>
              <w:pStyle w:val="Compact"/>
              <w:jc w:val="left"/>
            </w:pPr>
            <w:r>
              <w:t xml:space="preserve">Parent</w:t>
            </w:r>
          </w:p>
        </w:tc>
        <w:tc>
          <w:tcPr/>
          <w:p>
            <w:pPr>
              <w:pStyle w:val="Compact"/>
              <w:jc w:val="left"/>
            </w:pPr>
            <w:r>
              <w:t xml:space="preserve">PULSE-StRS-001</w:t>
            </w:r>
          </w:p>
        </w:tc>
      </w:tr>
      <w:tr>
        <w:tc>
          <w:tcPr/>
          <w:p>
            <w:pPr>
              <w:pStyle w:val="Compact"/>
              <w:jc w:val="left"/>
            </w:pPr>
            <w:r>
              <w:t xml:space="preserve">Related</w:t>
            </w:r>
          </w:p>
        </w:tc>
        <w:tc>
          <w:tcPr/>
          <w:p>
            <w:pPr>
              <w:pStyle w:val="Compact"/>
              <w:jc w:val="left"/>
            </w:pPr>
            <w:r>
              <w:t xml:space="preserve">PULSE-SAD-001, PULSE-SAF-001,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2026-08-25</w:t>
            </w:r>
          </w:p>
        </w:tc>
        <w:tc>
          <w:tcPr/>
          <w:p>
            <w:pPr>
              <w:pStyle w:val="Compact"/>
              <w:jc w:val="left"/>
            </w:pPr>
            <w:r>
              <w:t xml:space="preserve">A. Abdelghany</w:t>
            </w:r>
          </w:p>
        </w:tc>
        <w:tc>
          <w:tcPr/>
          <w:p>
            <w:pPr>
              <w:pStyle w:val="Compact"/>
              <w:jc w:val="left"/>
            </w:pPr>
            <w:r>
              <w:t xml:space="preserve">Requirements FR-1 to FR-17, IR-1 to IR-5, NFR-1 to NFR-8 drafted</w:t>
            </w:r>
          </w:p>
        </w:tc>
      </w:tr>
      <w:tr>
        <w:tc>
          <w:tcPr/>
          <w:p>
            <w:pPr>
              <w:pStyle w:val="Compact"/>
              <w:jc w:val="left"/>
            </w:pPr>
            <w:r>
              <w:t xml:space="preserve">1.0</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tcPr/>
          <w:p>
            <w:pPr>
              <w:pStyle w:val="Compact"/>
              <w:jc w:val="left"/>
            </w:pPr>
            <w:r>
              <w:t xml:space="preserve">1.1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Requirement-group map added to the system overview</w:t>
            </w:r>
          </w:p>
        </w:tc>
      </w:tr>
      <w:tr>
        <w:tc>
          <w:tcPr/>
          <w:p>
            <w:pPr>
              <w:pStyle w:val="Compact"/>
              <w:jc w:val="left"/>
            </w:pPr>
            <w:r>
              <w:t xml:space="preserve">1.2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r>
        <w:tc>
          <w:tcPr/>
          <w:p>
            <w:pPr>
              <w:pStyle w:val="Compact"/>
              <w:jc w:val="left"/>
            </w:pPr>
            <w:r>
              <w:t xml:space="preserve">1.3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FR-13 corrected to Partial: the two HMIs have diverged to 28 and 17 subscribed signals. NFR-8 and IR-2 evidence updated for the pinned broker image and the new unit-sanity check. FR-19 and FR-20 reworded, FR-20 now citing PULSE-SAF-001 SM-3 instead of restating it. Section 6 count table replaced by a pointer to the generated matrix. Worked requirement row added to section 1.2</w:t>
            </w:r>
          </w:p>
        </w:tc>
      </w:tr>
      <w:tr>
        <w:tc>
          <w:tcPr/>
          <w:p>
            <w:pPr>
              <w:pStyle w:val="Compact"/>
              <w:jc w:val="left"/>
            </w:pPr>
            <w:r>
              <w:t xml:space="preserve">1.4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Sprint 2 status: IR-5 and NFR-8 Implemented (secure-by-default broker, Flutter SDK pinned), FR-3 regeneration check now executes, FR-8 proven on a virtual bus, FR-13 wording updated, NFR-5 reduced to Partial pending a host with AVX</w:t>
            </w:r>
          </w:p>
        </w:tc>
      </w:tr>
      <w:tr>
        <w:tc>
          <w:tcPr/>
          <w:p>
            <w:pPr>
              <w:pStyle w:val="Compact"/>
              <w:jc w:val="left"/>
            </w:pPr>
            <w:r>
              <w:t xml:space="preserve">1.5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FR-13 to Implemented: the Compose cluster now consumes the same 28 signals. FR-8 evidence extended to the simulator’s CAN mode and the</w:t>
            </w:r>
            <w:r>
              <w:t xml:space="preserve"> </w:t>
            </w:r>
            <w:r>
              <w:rPr>
                <w:rStyle w:val="VerbatimChar"/>
              </w:rPr>
              <w:t xml:space="preserve">can-decode</w:t>
            </w:r>
            <w:r>
              <w:t xml:space="preserve"> </w:t>
            </w:r>
            <w:r>
              <w:t xml:space="preserve">and</w:t>
            </w:r>
            <w:r>
              <w:t xml:space="preserve"> </w:t>
            </w:r>
            <w:r>
              <w:rPr>
                <w:rStyle w:val="VerbatimChar"/>
              </w:rPr>
              <w:t xml:space="preserve">can-path</w:t>
            </w:r>
            <w:r>
              <w:t xml:space="preserve"> </w:t>
            </w:r>
            <w:r>
              <w:t xml:space="preserve">checks. FR-12 and NFR-5 evidence updated from a second host</w:t>
            </w:r>
          </w:p>
        </w:tc>
      </w:tr>
    </w:tbl>
    <w:bookmarkEnd w:id="20"/>
    <w:bookmarkEnd w:id="21"/>
    <w:bookmarkStart w:id="28" w:name="introduction"/>
    <w:p>
      <w:pPr>
        <w:pStyle w:val="Heading1"/>
      </w:pPr>
      <w:r>
        <w:t xml:space="preserve">1. Introduction</w:t>
      </w:r>
    </w:p>
    <w:bookmarkStart w:id="22" w:name="purpose"/>
    <w:p>
      <w:pPr>
        <w:pStyle w:val="Heading2"/>
      </w:pPr>
      <w:r>
        <w:t xml:space="preserve">1.1 Purpose</w:t>
      </w:r>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bookmarkEnd w:id="22"/>
    <w:bookmarkStart w:id="23" w:name="conventions"/>
    <w:p>
      <w:pPr>
        <w:pStyle w:val="Heading2"/>
      </w:pPr>
      <w:r>
        <w:t xml:space="preserve">1.2 Conventions</w:t>
      </w:r>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Cs/>
          <w:b/>
        </w:rPr>
        <w:t xml:space="preserve">Verification method</w:t>
      </w:r>
      <w:r>
        <w:t xml:space="preserve"> </w:t>
      </w:r>
      <w:r>
        <w:t xml:space="preserve">uses the standard four:</w:t>
      </w:r>
    </w:p>
    <w:tbl>
      <w:tblPr>
        <w:tblStyle w:val="Table"/>
        <w:tblW w:type="pct" w:w="5000"/>
        <w:tblLook w:firstRow="1" w:lastRow="0" w:firstColumn="0" w:lastColumn="0" w:noHBand="0" w:noVBand="0" w:val="0020"/>
        <w:jc w:val="start"/>
      </w:tblPr>
      <w:tblGrid>
        <w:gridCol w:w="633"/>
        <w:gridCol w:w="1425"/>
        <w:gridCol w:w="5860"/>
      </w:tblGrid>
      <w:tr>
        <w:trPr>
          <w:tblHeader w:val="true"/>
        </w:trPr>
        <w:tc>
          <w:tcPr/>
          <w:p>
            <w:pPr>
              <w:pStyle w:val="Compact"/>
              <w:jc w:val="left"/>
            </w:pPr>
            <w:r>
              <w:t xml:space="preserve">Code</w:t>
            </w:r>
          </w:p>
        </w:tc>
        <w:tc>
          <w:tcPr/>
          <w:p>
            <w:pPr>
              <w:pStyle w:val="Compact"/>
              <w:jc w:val="left"/>
            </w:pPr>
            <w:r>
              <w:t xml:space="preserve">Method</w:t>
            </w:r>
          </w:p>
        </w:tc>
        <w:tc>
          <w:tcPr/>
          <w:p>
            <w:pPr>
              <w:pStyle w:val="Compact"/>
              <w:jc w:val="left"/>
            </w:pPr>
            <w:r>
              <w:t xml:space="preserve">Meaning</w:t>
            </w:r>
          </w:p>
        </w:tc>
      </w:tr>
      <w:tr>
        <w:tc>
          <w:tcPr/>
          <w:p>
            <w:pPr>
              <w:pStyle w:val="Compact"/>
              <w:jc w:val="left"/>
            </w:pPr>
            <w:r>
              <w:t xml:space="preserve">I</w:t>
            </w:r>
          </w:p>
        </w:tc>
        <w:tc>
          <w:tcPr/>
          <w:p>
            <w:pPr>
              <w:pStyle w:val="Compact"/>
              <w:jc w:val="left"/>
            </w:pPr>
            <w:r>
              <w:t xml:space="preserve">Inspection</w:t>
            </w:r>
          </w:p>
        </w:tc>
        <w:tc>
          <w:tcPr/>
          <w:p>
            <w:pPr>
              <w:pStyle w:val="Compact"/>
              <w:jc w:val="left"/>
            </w:pPr>
            <w:r>
              <w:t xml:space="preserve">Reading code, configuration or documents</w:t>
            </w:r>
          </w:p>
        </w:tc>
      </w:tr>
      <w:tr>
        <w:tc>
          <w:tcPr/>
          <w:p>
            <w:pPr>
              <w:pStyle w:val="Compact"/>
              <w:jc w:val="left"/>
            </w:pPr>
            <w:r>
              <w:t xml:space="preserve">A</w:t>
            </w:r>
          </w:p>
        </w:tc>
        <w:tc>
          <w:tcPr/>
          <w:p>
            <w:pPr>
              <w:pStyle w:val="Compact"/>
              <w:jc w:val="left"/>
            </w:pPr>
            <w:r>
              <w:t xml:space="preserve">Analysis</w:t>
            </w:r>
          </w:p>
        </w:tc>
        <w:tc>
          <w:tcPr/>
          <w:p>
            <w:pPr>
              <w:pStyle w:val="Compact"/>
              <w:jc w:val="left"/>
            </w:pPr>
            <w:r>
              <w:t xml:space="preserve">Reasoning, calculation or static analysis</w:t>
            </w:r>
          </w:p>
        </w:tc>
      </w:tr>
      <w:tr>
        <w:tc>
          <w:tcPr/>
          <w:p>
            <w:pPr>
              <w:pStyle w:val="Compact"/>
              <w:jc w:val="left"/>
            </w:pPr>
            <w:r>
              <w:t xml:space="preserve">D</w:t>
            </w:r>
          </w:p>
        </w:tc>
        <w:tc>
          <w:tcPr/>
          <w:p>
            <w:pPr>
              <w:pStyle w:val="Compact"/>
              <w:jc w:val="left"/>
            </w:pPr>
            <w:r>
              <w:t xml:space="preserve">Demonstration</w:t>
            </w:r>
          </w:p>
        </w:tc>
        <w:tc>
          <w:tcPr/>
          <w:p>
            <w:pPr>
              <w:pStyle w:val="Compact"/>
              <w:jc w:val="left"/>
            </w:pPr>
            <w:r>
              <w:t xml:space="preserve">Running the system and observing behaviour, no measured pass criterion</w:t>
            </w:r>
          </w:p>
        </w:tc>
      </w:tr>
      <w:tr>
        <w:tc>
          <w:tcPr/>
          <w:p>
            <w:pPr>
              <w:pStyle w:val="Compact"/>
              <w:jc w:val="left"/>
            </w:pPr>
            <w:r>
              <w:t xml:space="preserve">T</w:t>
            </w:r>
          </w:p>
        </w:tc>
        <w:tc>
          <w:tcPr/>
          <w:p>
            <w:pPr>
              <w:pStyle w:val="Compact"/>
              <w:jc w:val="left"/>
            </w:pPr>
            <w:r>
              <w:t xml:space="preserve">Test</w:t>
            </w:r>
          </w:p>
        </w:tc>
        <w:tc>
          <w:tcPr/>
          <w:p>
            <w:pPr>
              <w:pStyle w:val="Compact"/>
              <w:jc w:val="left"/>
            </w:pPr>
            <w:r>
              <w:t xml:space="preserve">Executed check with a recorded pass or fail</w:t>
            </w:r>
          </w:p>
        </w:tc>
      </w:tr>
    </w:tbl>
    <w:p>
      <w:pPr>
        <w:pStyle w:val="BodyText"/>
      </w:pPr>
      <w:r>
        <w:rPr>
          <w:bCs/>
          <w:b/>
        </w:rPr>
        <w:t xml:space="preserve">Status at week 3</w:t>
      </w:r>
      <w:r>
        <w:t xml:space="preserve"> </w:t>
      </w:r>
      <w:r>
        <w:t xml:space="preserve">uses:</w:t>
      </w:r>
    </w:p>
    <w:tbl>
      <w:tblPr>
        <w:tblStyle w:val="Table"/>
        <w:tblW w:type="pct" w:w="5000"/>
        <w:tblLook w:firstRow="1" w:lastRow="0" w:firstColumn="0" w:lastColumn="0" w:noHBand="0" w:noVBand="0" w:val="0020"/>
        <w:jc w:val="start"/>
      </w:tblPr>
      <w:tblGrid>
        <w:gridCol w:w="1742"/>
        <w:gridCol w:w="6177"/>
      </w:tblGrid>
      <w:tr>
        <w:trPr>
          <w:tblHeader w:val="true"/>
        </w:trPr>
        <w:tc>
          <w:tcPr/>
          <w:p>
            <w:pPr>
              <w:pStyle w:val="Compact"/>
              <w:jc w:val="left"/>
            </w:pPr>
            <w:r>
              <w:t xml:space="preserve">Status</w:t>
            </w:r>
          </w:p>
        </w:tc>
        <w:tc>
          <w:tcPr/>
          <w:p>
            <w:pPr>
              <w:pStyle w:val="Compact"/>
              <w:jc w:val="left"/>
            </w:pPr>
            <w:r>
              <w:t xml:space="preserve">Meaning</w:t>
            </w:r>
          </w:p>
        </w:tc>
      </w:tr>
      <w:tr>
        <w:tc>
          <w:tcPr/>
          <w:p>
            <w:pPr>
              <w:pStyle w:val="Compact"/>
              <w:jc w:val="left"/>
            </w:pPr>
            <w:r>
              <w:t xml:space="preserve">Implemented</w:t>
            </w:r>
          </w:p>
        </w:tc>
        <w:tc>
          <w:tcPr/>
          <w:p>
            <w:pPr>
              <w:pStyle w:val="Compact"/>
              <w:jc w:val="left"/>
            </w:pPr>
            <w:r>
              <w:t xml:space="preserve">Met by the current build; evidence named</w:t>
            </w:r>
          </w:p>
        </w:tc>
      </w:tr>
      <w:tr>
        <w:tc>
          <w:tcPr/>
          <w:p>
            <w:pPr>
              <w:pStyle w:val="Compact"/>
              <w:jc w:val="left"/>
            </w:pPr>
            <w:r>
              <w:t xml:space="preserve">Partial</w:t>
            </w:r>
          </w:p>
        </w:tc>
        <w:tc>
          <w:tcPr/>
          <w:p>
            <w:pPr>
              <w:pStyle w:val="Compact"/>
              <w:jc w:val="left"/>
            </w:pPr>
            <w:r>
              <w:t xml:space="preserve">Partly met; the gap and its sprint are named</w:t>
            </w:r>
          </w:p>
        </w:tc>
      </w:tr>
      <w:tr>
        <w:tc>
          <w:tcPr/>
          <w:p>
            <w:pPr>
              <w:pStyle w:val="Compact"/>
              <w:jc w:val="left"/>
            </w:pPr>
            <w:r>
              <w:t xml:space="preserve">Planned S2 / S3 / S4</w:t>
            </w:r>
          </w:p>
        </w:tc>
        <w:tc>
          <w:tcPr/>
          <w:p>
            <w:pPr>
              <w:pStyle w:val="Compact"/>
              <w:jc w:val="left"/>
            </w:pPr>
            <w:r>
              <w:t xml:space="preserve">Not yet started; scheduled for that sprint</w:t>
            </w:r>
          </w:p>
        </w:tc>
      </w:tr>
    </w:tbl>
    <w:p>
      <w:pPr>
        <w:pStyle w:val="BodyText"/>
      </w:pPr>
      <w:r>
        <w:t xml:space="preserve">Read together, one row looks like this. FR-11 says the HMI shall subscribe to abstract signals only. Its verification code is</w:t>
      </w:r>
      <w:r>
        <w:t xml:space="preserve"> </w:t>
      </w:r>
      <w:r>
        <w:rPr>
          <w:rStyle w:val="VerbatimChar"/>
        </w:rPr>
        <w:t xml:space="preserve">T</w:t>
      </w:r>
      <w:r>
        <w:t xml:space="preserve">, so a check either passes or fails rather than being read or argued. Its status is Implemented. Its evidence names the check that proves it,</w:t>
      </w:r>
      <w:r>
        <w:t xml:space="preserve"> </w:t>
      </w:r>
      <w:r>
        <w:rPr>
          <w:rStyle w:val="VerbatimChar"/>
        </w:rPr>
        <w:t xml:space="preserve">hmi-purity</w:t>
      </w:r>
      <w:r>
        <w:t xml:space="preserve">, which scans both HMI sources for CAN, DBC and SocketCAN tokens and fails the build if it finds one. Every requirement row in this document is read the same way: what shall happen, how it is proved, where it stands, and what to open to see for yourself.</w:t>
      </w:r>
    </w:p>
    <w:bookmarkEnd w:id="23"/>
    <w:bookmarkStart w:id="27" w:name="system-overview"/>
    <w:p>
      <w:pPr>
        <w:pStyle w:val="Heading2"/>
      </w:pPr>
      <w:r>
        <w:t xml:space="preserve">1.3 System overview</w:t>
      </w:r>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25" name="Picture"/>
            <a:graphic>
              <a:graphicData uri="http://schemas.openxmlformats.org/drawingml/2006/picture">
                <pic:pic>
                  <pic:nvPicPr>
                    <pic:cNvPr descr="diagrams/requirements-map.png" id="26" name="Picture"/>
                    <pic:cNvPicPr>
                      <a:picLocks noChangeArrowheads="1" noChangeAspect="1"/>
                    </pic:cNvPicPr>
                  </pic:nvPicPr>
                  <pic:blipFill>
                    <a:blip r:embed="rId24"/>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bookmarkEnd w:id="27"/>
    <w:bookmarkEnd w:id="28"/>
    <w:bookmarkStart w:id="35" w:name="functional-requirements"/>
    <w:p>
      <w:pPr>
        <w:pStyle w:val="Heading1"/>
      </w:pPr>
      <w:r>
        <w:t xml:space="preserve">2. Functional requirements</w:t>
      </w:r>
    </w:p>
    <w:bookmarkStart w:id="29" w:name="vehicle-data-abstraction"/>
    <w:p>
      <w:pPr>
        <w:pStyle w:val="Heading2"/>
      </w:pPr>
      <w:r>
        <w:t xml:space="preserve">2.1 Vehicle data abstraction</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w:t>
            </w:r>
          </w:p>
        </w:tc>
        <w:tc>
          <w:tcPr/>
          <w:p>
            <w:pPr>
              <w:pStyle w:val="Compact"/>
              <w:jc w:val="left"/>
            </w:pPr>
            <w:r>
              <w:t xml:space="preserve">The system shall represent all vehicle data using an open, standardised signal catalogue (COVESA VSS), not proprietary or bus-specific identifiers.</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vss/vss_agl.json</w:t>
            </w:r>
            <w:r>
              <w:t xml:space="preserve"> </w:t>
            </w:r>
            <w:r>
              <w:t xml:space="preserve">compiled from VSS 6.0; 1,302 leaf signals</w:t>
            </w:r>
          </w:p>
        </w:tc>
      </w:tr>
      <w:tr>
        <w:tc>
          <w:tcPr/>
          <w:p>
            <w:pPr>
              <w:pStyle w:val="Compact"/>
              <w:jc w:val="left"/>
            </w:pPr>
            <w:r>
              <w:t xml:space="preserve">FR-2</w:t>
            </w:r>
          </w:p>
        </w:tc>
        <w:tc>
          <w:tcPr/>
          <w:p>
            <w:pPr>
              <w:pStyle w:val="Compact"/>
              <w:jc w:val="left"/>
            </w:pPr>
            <w:r>
              <w:t xml:space="preserve">The system shall extend the standard catalogue for domain-specific signals using the standard overlay mechanism only, with no forks of the upstream specification.</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 upstream spec consumed unmodified</w:t>
            </w:r>
          </w:p>
        </w:tc>
      </w:tr>
      <w:tr>
        <w:tc>
          <w:tcPr/>
          <w:p>
            <w:pPr>
              <w:pStyle w:val="Compact"/>
              <w:jc w:val="left"/>
            </w:pPr>
            <w:r>
              <w:t xml:space="preserve">FR-3</w:t>
            </w:r>
          </w:p>
        </w:tc>
        <w:tc>
          <w:tcPr/>
          <w:p>
            <w:pPr>
              <w:pStyle w:val="Compact"/>
              <w:jc w:val="left"/>
            </w:pPr>
            <w:r>
              <w:t xml:space="preserve">The compiled signal tree shall be reproducible from versioned source files by a documented command.</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Suite check</w:t>
            </w:r>
            <w:r>
              <w:t xml:space="preserve"> </w:t>
            </w:r>
            <w:r>
              <w:rPr>
                <w:rStyle w:val="VerbatimChar"/>
              </w:rPr>
              <w:t xml:space="preserve">vss-regeneration</w:t>
            </w:r>
            <w:r>
              <w:t xml:space="preserve">, byte-identical with vss-tools 6.0 in</w:t>
            </w:r>
            <w:r>
              <w:t xml:space="preserve"> </w:t>
            </w:r>
            <w:r>
              <w:rPr>
                <w:rStyle w:val="VerbatimChar"/>
              </w:rPr>
              <w:t xml:space="preserve">.venv-tools</w:t>
            </w:r>
            <w:r>
              <w:t xml:space="preserve">; first executed 2026-09-23, it had skipped before for want of the tool</w:t>
            </w:r>
          </w:p>
        </w:tc>
      </w:tr>
      <w:tr>
        <w:tc>
          <w:tcPr/>
          <w:p>
            <w:pPr>
              <w:pStyle w:val="Compact"/>
              <w:jc w:val="left"/>
            </w:pPr>
            <w:r>
              <w:t xml:space="preserve">FR-4</w:t>
            </w:r>
          </w:p>
        </w:tc>
        <w:tc>
          <w:tcPr/>
          <w:p>
            <w:pPr>
              <w:pStyle w:val="Compact"/>
              <w:jc w:val="left"/>
            </w:pPr>
            <w:r>
              <w:t xml:space="preserve">A central broker shall serve the signal tree and allow multiple independent clients to subscribe concurrently.</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tcPr/>
          <w:p>
            <w:pPr>
              <w:pStyle w:val="Compact"/>
              <w:jc w:val="left"/>
            </w:pPr>
            <w:r>
              <w:t xml:space="preserve">FR-5</w:t>
            </w:r>
          </w:p>
        </w:tc>
        <w:tc>
          <w:tcPr/>
          <w:p>
            <w:pPr>
              <w:pStyle w:val="Compact"/>
              <w:jc w:val="left"/>
            </w:pPr>
            <w:r>
              <w:t xml:space="preserve">Signal producers and consumers shall be mutually decoupled: neither needs knowledge of the other’s implementation.</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Providers and HMIs share no code, only VSS paths (PULSE-SAD-001 section 4)</w:t>
            </w:r>
          </w:p>
        </w:tc>
      </w:tr>
    </w:tbl>
    <w:bookmarkEnd w:id="29"/>
    <w:bookmarkStart w:id="30" w:name="telemetry-source"/>
    <w:p>
      <w:pPr>
        <w:pStyle w:val="Heading2"/>
      </w:pPr>
      <w:r>
        <w:t xml:space="preserve">2.2 Telemetry source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FR-6</w:t>
            </w:r>
          </w:p>
        </w:tc>
        <w:tc>
          <w:tcPr/>
          <w:p>
            <w:pPr>
              <w:pStyle w:val="Compact"/>
              <w:jc w:val="left"/>
            </w:pPr>
            <w:r>
              <w:t xml:space="preserve">The system shall provide a telemetry source that generates physically plausible, correlated vehicle behaviour (speed, engine speed, gear, temperature, fuel, odometer) without any vehicle hardware.</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emulator/telemetry_sim.py</w:t>
            </w:r>
            <w:r>
              <w:t xml:space="preserve">: lap and cruise cycles with correlated RPM, fuel and odometer. Suite check</w:t>
            </w:r>
            <w:r>
              <w:t xml:space="preserve"> </w:t>
            </w:r>
            <w:r>
              <w:rPr>
                <w:rStyle w:val="VerbatimChar"/>
              </w:rPr>
              <w:t xml:space="preserve">live-telemetry</w:t>
            </w:r>
            <w:r>
              <w:t xml:space="preserve"> </w:t>
            </w:r>
            <w:r>
              <w:t xml:space="preserve">passes</w:t>
            </w:r>
          </w:p>
        </w:tc>
      </w:tr>
      <w:tr>
        <w:tc>
          <w:tcPr/>
          <w:p>
            <w:pPr>
              <w:pStyle w:val="Compact"/>
              <w:jc w:val="left"/>
            </w:pPr>
            <w:r>
              <w:t xml:space="preserve">FR-7</w:t>
            </w:r>
          </w:p>
        </w:tc>
        <w:tc>
          <w:tcPr/>
          <w:p>
            <w:pPr>
              <w:pStyle w:val="Compact"/>
              <w:jc w:val="left"/>
            </w:pPr>
            <w:r>
              <w:t xml:space="preserve">The telemetry source shall run a repeatable cycle so that UI behaviour can be compared across runs and across implementations.</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Phase table is fixed with no randomness, but sampling is wall-clock driven, so runs differ in timing. Fixed-step replay in S4</w:t>
            </w:r>
          </w:p>
        </w:tc>
      </w:tr>
      <w:tr>
        <w:tc>
          <w:tcPr/>
          <w:p>
            <w:pPr>
              <w:pStyle w:val="Compact"/>
              <w:jc w:val="left"/>
            </w:pPr>
            <w:r>
              <w:t xml:space="preserve">FR-8</w:t>
            </w:r>
          </w:p>
        </w:tc>
        <w:tc>
          <w:tcPr/>
          <w:p>
            <w:pPr>
              <w:pStyle w:val="Compact"/>
              <w:jc w:val="left"/>
            </w:pPr>
            <w:r>
              <w:t xml:space="preserve">The telemetry source shall be replaceable by a real vehicle-bus provider without modification to any HMI code.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Proven on a virtual bus on 23 September (</w:t>
            </w:r>
            <w:r>
              <w:rPr>
                <w:rStyle w:val="VerbatimChar"/>
              </w:rPr>
              <w:t xml:space="preserve">scripts/can_spike.py</w:t>
            </w:r>
            <w:r>
              <w:t xml:space="preserve">). Since 2 October the simulator can act as the vehicle’s ECUs (</w:t>
            </w:r>
            <w:r>
              <w:rPr>
                <w:rStyle w:val="VerbatimChar"/>
              </w:rPr>
              <w:t xml:space="preserve">SIM_CAN=vcan0</w:t>
            </w:r>
            <w:r>
              <w:t xml:space="preserve">,</w:t>
            </w:r>
            <w:r>
              <w:t xml:space="preserve"> </w:t>
            </w:r>
            <w:r>
              <w:rPr>
                <w:rStyle w:val="VerbatimChar"/>
              </w:rPr>
              <w:t xml:space="preserve">CAN=1 ./run.sh</w:t>
            </w:r>
            <w:r>
              <w:t xml:space="preserve">): the 35 signals the catalogue maps from AGL’s DBC leave it only as frames and reach the broker through KUKSA’s CAN provider (</w:t>
            </w:r>
            <w:r>
              <w:rPr>
                <w:rStyle w:val="VerbatimChar"/>
              </w:rPr>
              <w:t xml:space="preserve">emulator/can_bus.py</w:t>
            </w:r>
            <w:r>
              <w:t xml:space="preserve">). Suite check</w:t>
            </w:r>
            <w:r>
              <w:t xml:space="preserve"> </w:t>
            </w:r>
            <w:r>
              <w:rPr>
                <w:rStyle w:val="VerbatimChar"/>
              </w:rPr>
              <w:t xml:space="preserve">can-decode</w:t>
            </w:r>
            <w:r>
              <w:t xml:space="preserve"> </w:t>
            </w:r>
            <w:r>
              <w:t xml:space="preserve">verifies all 35 at minimum, midpoint and maximum and runs in CI;</w:t>
            </w:r>
            <w:r>
              <w:t xml:space="preserve"> </w:t>
            </w:r>
            <w:r>
              <w:rPr>
                <w:rStyle w:val="VerbatimChar"/>
              </w:rPr>
              <w:t xml:space="preserve">can-path</w:t>
            </w:r>
            <w:r>
              <w:t xml:space="preserve"> </w:t>
            </w:r>
            <w:r>
              <w:t xml:space="preserve">runs the live path wherever</w:t>
            </w:r>
            <w:r>
              <w:t xml:space="preserve"> </w:t>
            </w:r>
            <w:r>
              <w:rPr>
                <w:rStyle w:val="VerbatimChar"/>
              </w:rPr>
              <w:t xml:space="preserve">vcan0</w:t>
            </w:r>
            <w:r>
              <w:t xml:space="preserve"> </w:t>
            </w:r>
            <w:r>
              <w:t xml:space="preserve">is up. Physical bus in S3</w:t>
            </w:r>
          </w:p>
        </w:tc>
      </w:tr>
    </w:tbl>
    <w:bookmarkEnd w:id="30"/>
    <w:bookmarkStart w:id="31" w:name="human-machine-interface"/>
    <w:p>
      <w:pPr>
        <w:pStyle w:val="Heading2"/>
      </w:pPr>
      <w:r>
        <w:t xml:space="preserve">2.3 Human-machine interface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FR-9</w:t>
            </w:r>
          </w:p>
        </w:tc>
        <w:tc>
          <w:tcPr/>
          <w:p>
            <w:pPr>
              <w:pStyle w:val="Compact"/>
              <w:jc w:val="left"/>
            </w:pPr>
            <w:r>
              <w:t xml:space="preserve">The HMI shall display, updating live: road speed, engine speed with warning and redline indication, selected gear, fuel level and range, per-corner tyre pressures, and driver-relevant status indicators.</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pulse-cluster/lib/screen/pulse_screen.dart</w:t>
            </w:r>
            <w:r>
              <w:t xml:space="preserve">; subscribed paths listed in PULSE-SAD-001 appendix A</w:t>
            </w:r>
          </w:p>
        </w:tc>
      </w:tr>
      <w:tr>
        <w:tc>
          <w:tcPr/>
          <w:p>
            <w:pPr>
              <w:pStyle w:val="Compact"/>
              <w:jc w:val="left"/>
            </w:pPr>
            <w:r>
              <w:t xml:space="preserve">FR-10</w:t>
            </w:r>
          </w:p>
        </w:tc>
        <w:tc>
          <w:tcPr/>
          <w:p>
            <w:pPr>
              <w:pStyle w:val="Compact"/>
              <w:jc w:val="left"/>
            </w:pPr>
            <w:r>
              <w:t xml:space="preserve">The HMI shall display motorsport telemetry: current lap number, current and best lap time, aerodynamic (DRS) state, and energy-recovery (ERS) level and state.</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Vehicle.Motorsport.*</w:t>
            </w:r>
            <w:r>
              <w:t xml:space="preserve"> </w:t>
            </w:r>
            <w:r>
              <w:t xml:space="preserve">overlay signals rendered by both HMIs</w:t>
            </w:r>
          </w:p>
        </w:tc>
      </w:tr>
      <w:tr>
        <w:tc>
          <w:tcPr/>
          <w:p>
            <w:pPr>
              <w:pStyle w:val="Compact"/>
              <w:jc w:val="left"/>
            </w:pPr>
            <w:r>
              <w:t xml:space="preserve">FR-11</w:t>
            </w:r>
          </w:p>
        </w:tc>
        <w:tc>
          <w:tcPr/>
          <w:p>
            <w:pPr>
              <w:pStyle w:val="Compact"/>
              <w:jc w:val="left"/>
            </w:pPr>
            <w:r>
              <w:t xml:space="preserve">The HMI shall subscribe to abstract signals only. It shall not contain CAN frame parsing, DBC knowledge, or hardware-specific decoding.</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tcPr/>
          <w:p>
            <w:pPr>
              <w:pStyle w:val="Compact"/>
              <w:jc w:val="left"/>
            </w:pPr>
            <w:r>
              <w:t xml:space="preserve">FR-12</w:t>
            </w:r>
          </w:p>
        </w:tc>
        <w:tc>
          <w:tcPr/>
          <w:p>
            <w:pPr>
              <w:pStyle w:val="Compact"/>
              <w:jc w:val="left"/>
            </w:pPr>
            <w:r>
              <w:t xml:space="preserve">The HMI shall be implemented twice, once in Flutter for Linux and once in Compose for Android Automotive, from a single shared visual design.</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r>
              <w:t xml:space="preserve">. Both seen running on 2 October, Compose on the Android 16 car emulator (suite check</w:t>
            </w:r>
            <w:r>
              <w:t xml:space="preserve"> </w:t>
            </w:r>
            <w:r>
              <w:rPr>
                <w:rStyle w:val="VerbatimChar"/>
              </w:rPr>
              <w:t xml:space="preserve">compose-ui</w:t>
            </w:r>
            <w:r>
              <w:t xml:space="preserve">, screens under</w:t>
            </w:r>
            <w:r>
              <w:t xml:space="preserve"> </w:t>
            </w:r>
            <w:r>
              <w:rPr>
                <w:rStyle w:val="VerbatimChar"/>
              </w:rPr>
              <w:t xml:space="preserve">docs/evidence/screens/</w:t>
            </w:r>
            <w:r>
              <w:t xml:space="preserve">)</w:t>
            </w:r>
          </w:p>
        </w:tc>
      </w:tr>
      <w:tr>
        <w:tc>
          <w:tcPr/>
          <w:p>
            <w:pPr>
              <w:pStyle w:val="Compact"/>
              <w:jc w:val="left"/>
            </w:pPr>
            <w:r>
              <w:t xml:space="preserve">FR-13</w:t>
            </w:r>
          </w:p>
        </w:tc>
        <w:tc>
          <w:tcPr/>
          <w:p>
            <w:pPr>
              <w:pStyle w:val="Compact"/>
              <w:jc w:val="left"/>
            </w:pPr>
            <w:r>
              <w:t xml:space="preserve">Both implementations shall consume the identical signal source, so any observed difference is attributable to the platform, not the data.</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Since 2 October both clusters subscribe to the same 28 paths through the same broker, protocol, catalogue limits and freshness rules. The benchmark figures in</w:t>
            </w:r>
            <w:r>
              <w:t xml:space="preserve"> </w:t>
            </w:r>
            <w:r>
              <w:rPr>
                <w:rStyle w:val="VerbatimChar"/>
              </w:rPr>
              <w:t xml:space="preserve">BRIEF.md</w:t>
            </w:r>
            <w:r>
              <w:t xml:space="preserve"> </w:t>
            </w:r>
            <w:r>
              <w:t xml:space="preserve">were measured before parity and are re-measured in S4 (FR-15)</w:t>
            </w:r>
          </w:p>
        </w:tc>
      </w:tr>
      <w:tr>
        <w:tc>
          <w:tcPr/>
          <w:p>
            <w:pPr>
              <w:pStyle w:val="Compact"/>
              <w:jc w:val="left"/>
            </w:pPr>
            <w:r>
              <w:t xml:space="preserve">FR-14</w:t>
            </w:r>
          </w:p>
        </w:tc>
        <w:tc>
          <w:tcPr/>
          <w:p>
            <w:pPr>
              <w:pStyle w:val="Compact"/>
              <w:jc w:val="left"/>
            </w:pPr>
            <w:r>
              <w:t xml:space="preserve">The HMI shall render full-screen on the target strip display, and shall degrade gracefully to a normal window when that display is absent.</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bookmarkEnd w:id="31"/>
    <w:bookmarkStart w:id="32" w:name="comparison-and-evidence"/>
    <w:p>
      <w:pPr>
        <w:pStyle w:val="Heading2"/>
      </w:pPr>
      <w:r>
        <w:t xml:space="preserve">2.4 Comparison and evidence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FR-15</w:t>
            </w:r>
          </w:p>
        </w:tc>
        <w:tc>
          <w:tcPr/>
          <w:p>
            <w:pPr>
              <w:pStyle w:val="Compact"/>
              <w:jc w:val="left"/>
            </w:pPr>
            <w:r>
              <w:t xml:space="preserve">The system shall support measurement of both implementations under identical telemetry: CPU utilisation, memory footprint, and shipped artefact size.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Measured once by hand: 123 vs 46 MB memory, 12.2 vs 11.5 % CPU, 50 vs 23 MB artefact (</w:t>
            </w:r>
            <w:r>
              <w:rPr>
                <w:rStyle w:val="VerbatimChar"/>
              </w:rPr>
              <w:t xml:space="preserve">BRIEF.md</w:t>
            </w:r>
            <w:r>
              <w:t xml:space="preserve">). Scripted benchmark in S4</w:t>
            </w:r>
          </w:p>
        </w:tc>
      </w:tr>
      <w:tr>
        <w:tc>
          <w:tcPr/>
          <w:p>
            <w:pPr>
              <w:pStyle w:val="Compact"/>
              <w:jc w:val="left"/>
            </w:pPr>
            <w:r>
              <w:t xml:space="preserve">FR-16</w:t>
            </w:r>
          </w:p>
        </w:tc>
        <w:tc>
          <w:tcPr/>
          <w:p>
            <w:pPr>
              <w:pStyle w:val="Compact"/>
              <w:jc w:val="left"/>
            </w:pPr>
            <w:r>
              <w:t xml:space="preserve">Measurements shall distinguish application-level cost from platform-level cost, since these drive different procurement decisions.</w:t>
            </w:r>
          </w:p>
        </w:tc>
        <w:tc>
          <w:tcPr/>
          <w:p>
            <w:pPr>
              <w:pStyle w:val="Compact"/>
              <w:jc w:val="left"/>
            </w:pPr>
            <w:r>
              <w:t xml:space="preserve">A</w:t>
            </w:r>
          </w:p>
        </w:tc>
        <w:tc>
          <w:tcPr/>
          <w:p>
            <w:pPr>
              <w:pStyle w:val="Compact"/>
              <w:jc w:val="left"/>
            </w:pPr>
            <w:r>
              <w:t xml:space="preserve">Partial</w:t>
            </w:r>
          </w:p>
        </w:tc>
        <w:tc>
          <w:tcPr/>
          <w:p>
            <w:pPr>
              <w:pStyle w:val="Compact"/>
              <w:jc w:val="left"/>
            </w:pPr>
            <w:r>
              <w:t xml:space="preserve">Platform memory reported separately (AAOS 3.2 to 4.0 GB from emulator); target-hardware figures planned S3 to S4</w:t>
            </w:r>
          </w:p>
        </w:tc>
      </w:tr>
      <w:tr>
        <w:tc>
          <w:tcPr/>
          <w:p>
            <w:pPr>
              <w:pStyle w:val="Compact"/>
              <w:jc w:val="left"/>
            </w:pPr>
            <w:r>
              <w:t xml:space="preserve">FR-17</w:t>
            </w:r>
          </w:p>
        </w:tc>
        <w:tc>
          <w:tcPr/>
          <w:p>
            <w:pPr>
              <w:pStyle w:val="Compact"/>
              <w:jc w:val="left"/>
            </w:pPr>
            <w:r>
              <w:t xml:space="preserve">Results shall be documented such that a reviewer can reproduce them from the repository.</w:t>
            </w:r>
          </w:p>
        </w:tc>
        <w:tc>
          <w:tcPr/>
          <w:p>
            <w:pPr>
              <w:pStyle w:val="Compact"/>
              <w:jc w:val="left"/>
            </w:pPr>
            <w:r>
              <w:t xml:space="preserve">T</w:t>
            </w:r>
          </w:p>
        </w:tc>
        <w:tc>
          <w:tcPr/>
          <w:p>
            <w:pPr>
              <w:pStyle w:val="Compact"/>
              <w:jc w:val="left"/>
            </w:pPr>
            <w:r>
              <w:t xml:space="preserve">Planned S4</w:t>
            </w:r>
          </w:p>
        </w:tc>
        <w:tc>
          <w:tcPr/>
          <w:p>
            <w:pPr>
              <w:pStyle w:val="Compact"/>
              <w:jc w:val="left"/>
            </w:pPr>
            <w:r>
              <w:t xml:space="preserve">Benchmark script and results file to be committed under</w:t>
            </w:r>
            <w:r>
              <w:t xml:space="preserve"> </w:t>
            </w:r>
            <w:r>
              <w:rPr>
                <w:rStyle w:val="VerbatimChar"/>
              </w:rPr>
              <w:t xml:space="preserve">docs/</w:t>
            </w:r>
          </w:p>
        </w:tc>
      </w:tr>
    </w:tbl>
    <w:bookmarkEnd w:id="32"/>
    <w:bookmarkStart w:id="33" w:name="driver-monitoring-and-closed-loop"/>
    <w:p>
      <w:pPr>
        <w:pStyle w:val="Heading2"/>
      </w:pPr>
      <w:r>
        <w:t xml:space="preserve">2.5 Driver monitoring and closed loop</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FR-18</w:t>
            </w:r>
          </w:p>
        </w:tc>
        <w:tc>
          <w:tcPr/>
          <w:p>
            <w:pPr>
              <w:pStyle w:val="Compact"/>
              <w:jc w:val="left"/>
            </w:pPr>
            <w:r>
              <w:t xml:space="preserve">The system shall derive driver fatigue and distraction levels from a driver-facing camera using inference executed entirely on the local device, and publish them as VSS driver signals.</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tcPr/>
          <w:p>
            <w:pPr>
              <w:pStyle w:val="Compact"/>
              <w:jc w:val="left"/>
            </w:pPr>
            <w:r>
              <w:t xml:space="preserve">FR-19</w:t>
            </w:r>
          </w:p>
        </w:tc>
        <w:tc>
          <w:tcPr/>
          <w:p>
            <w:pPr>
              <w:pStyle w:val="Compact"/>
              <w:jc w:val="left"/>
            </w:pPr>
            <w:r>
              <w:t xml:space="preserve">The system shall maintain a driver alert state of NONE, DROWSY, DISTRACTED or NO_FACE. It shall raise an alert only after a configurable hold time, and release it only after a configurable clear time, so a momentary event does not flicker the display.</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published as</w:t>
            </w:r>
            <w:r>
              <w:t xml:space="preserve"> </w:t>
            </w:r>
            <w:r>
              <w:rPr>
                <w:rStyle w:val="VerbatimChar"/>
              </w:rPr>
              <w:t xml:space="preserve">Vehicle.Driver.Monitoring.AlertState</w:t>
            </w:r>
          </w:p>
        </w:tc>
      </w:tr>
      <w:tr>
        <w:tc>
          <w:tcPr/>
          <w:p>
            <w:pPr>
              <w:pStyle w:val="Compact"/>
              <w:jc w:val="left"/>
            </w:pPr>
            <w:r>
              <w:t xml:space="preserve">FR-20</w:t>
            </w:r>
          </w:p>
        </w:tc>
        <w:tc>
          <w:tcPr/>
          <w:p>
            <w:pPr>
              <w:pStyle w:val="Compact"/>
              <w:jc w:val="left"/>
            </w:pPr>
            <w:r>
              <w:t xml:space="preserve">When cruise mode is active and the alert state is DROWSY, the vehicle model shall execute the minimum-risk manoeuvre specified in PULSE-SAF-001 SM-3, which the driver can abort by recovering attention during the countdown.</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telemetry_sim.py</w:t>
            </w:r>
            <w:r>
              <w:t xml:space="preserve"> </w:t>
            </w:r>
            <w:r>
              <w:t xml:space="preserve">cruise mode implements SM-3;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p>
        </w:tc>
      </w:tr>
      <w:tr>
        <w:tc>
          <w:tcPr/>
          <w:p>
            <w:pPr>
              <w:pStyle w:val="Compact"/>
              <w:jc w:val="left"/>
            </w:pPr>
            <w:r>
              <w:t xml:space="preserve">FR-21</w:t>
            </w:r>
          </w:p>
        </w:tc>
        <w:tc>
          <w:tcPr/>
          <w:p>
            <w:pPr>
              <w:pStyle w:val="Compact"/>
              <w:jc w:val="left"/>
            </w:pPr>
            <w:r>
              <w:t xml:space="preserve">The HMI shall render the driver attention level, the active alert as a full-width banner distinguishable by colour per alert type, and the intervention countdown.</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bookmarkEnd w:id="33"/>
    <w:bookmarkStart w:id="34" w:name="autonomy-provider"/>
    <w:p>
      <w:pPr>
        <w:pStyle w:val="Heading2"/>
      </w:pPr>
      <w:r>
        <w:t xml:space="preserve">2.6 Autonomy provider</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FR-22</w:t>
            </w:r>
          </w:p>
        </w:tc>
        <w:tc>
          <w:tcPr/>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tcPr/>
          <w:p>
            <w:pPr>
              <w:pStyle w:val="Compact"/>
              <w:jc w:val="left"/>
            </w:pPr>
            <w:r>
              <w:t xml:space="preserve">D</w:t>
            </w:r>
          </w:p>
        </w:tc>
        <w:tc>
          <w:tcPr/>
          <w:p>
            <w:pPr>
              <w:pStyle w:val="Compact"/>
              <w:jc w:val="left"/>
            </w:pPr>
            <w:r>
              <w:t xml:space="preserve">Planned S3</w:t>
            </w:r>
          </w:p>
        </w:tc>
        <w:tc>
          <w:tcPr/>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bookmarkEnd w:id="34"/>
    <w:bookmarkEnd w:id="35"/>
    <w:bookmarkStart w:id="36" w:name="interface-requirements"/>
    <w:p>
      <w:pPr>
        <w:pStyle w:val="Heading1"/>
      </w:pPr>
      <w:r>
        <w:t xml:space="preserve">3. Interface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IR-1</w:t>
            </w:r>
          </w:p>
        </w:tc>
        <w:tc>
          <w:tcPr/>
          <w:p>
            <w:pPr>
              <w:pStyle w:val="Compact"/>
              <w:jc w:val="left"/>
            </w:pPr>
            <w:r>
              <w:t xml:space="preserve">Client-to-broker communication shall use a language-neutral RPC interface supporting streaming subscriptions.</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tcPr/>
          <w:p>
            <w:pPr>
              <w:pStyle w:val="Compact"/>
              <w:jc w:val="left"/>
            </w:pPr>
            <w:r>
              <w:t xml:space="preserve">IR-2</w:t>
            </w:r>
          </w:p>
        </w:tc>
        <w:tc>
          <w:tcPr/>
          <w:p>
            <w:pPr>
              <w:pStyle w:val="Compact"/>
              <w:jc w:val="left"/>
            </w:pPr>
            <w:r>
              <w:t xml:space="preserve">Signal semantics (units, ranges, allowed enumeration values, and encodings) shall be defined in the signal catalogue, not in client code.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 suite check</w:t>
            </w:r>
            <w:r>
              <w:t xml:space="preserve"> </w:t>
            </w:r>
            <w:r>
              <w:rPr>
                <w:rStyle w:val="VerbatimChar"/>
              </w:rPr>
              <w:t xml:space="preserve">unit-sanity</w:t>
            </w:r>
            <w:r>
              <w:t xml:space="preserve"> </w:t>
            </w:r>
            <w:r>
              <w:t xml:space="preserve">catches a value published in the wrong unit</w:t>
            </w:r>
          </w:p>
        </w:tc>
      </w:tr>
      <w:tr>
        <w:tc>
          <w:tcPr/>
          <w:p>
            <w:pPr>
              <w:pStyle w:val="Compact"/>
              <w:jc w:val="left"/>
            </w:pPr>
            <w:r>
              <w:t xml:space="preserve">IR-3</w:t>
            </w:r>
          </w:p>
        </w:tc>
        <w:tc>
          <w:tcPr/>
          <w:p>
            <w:pPr>
              <w:pStyle w:val="Compact"/>
              <w:jc w:val="left"/>
            </w:pPr>
            <w:r>
              <w:t xml:space="preserve">The target display interface shall be a 2560 x 720 automotive strip panel.</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Corsair Xeneon Edge on the desk rig; layout designed at 2560 x 720</w:t>
            </w:r>
          </w:p>
        </w:tc>
      </w:tr>
      <w:tr>
        <w:tc>
          <w:tcPr/>
          <w:p>
            <w:pPr>
              <w:pStyle w:val="Compact"/>
              <w:jc w:val="left"/>
            </w:pPr>
            <w:r>
              <w:t xml:space="preserve">IR-4</w:t>
            </w:r>
          </w:p>
        </w:tc>
        <w:tc>
          <w:tcPr/>
          <w:p>
            <w:pPr>
              <w:pStyle w:val="Compact"/>
              <w:jc w:val="left"/>
            </w:pPr>
            <w:r>
              <w:t xml:space="preserve">Display placement shall be configurable at runtime, not fixed at compilation.</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tcPr/>
          <w:p>
            <w:pPr>
              <w:pStyle w:val="Compact"/>
              <w:jc w:val="left"/>
            </w:pPr>
            <w:r>
              <w:t xml:space="preserve">IR-5</w:t>
            </w:r>
          </w:p>
        </w:tc>
        <w:tc>
          <w:tcPr/>
          <w:p>
            <w:pPr>
              <w:pStyle w:val="Compact"/>
              <w:jc w:val="left"/>
            </w:pPr>
            <w:r>
              <w:t xml:space="preserve">The system shall run without transport security in the local development configuration, and the security posture shall be an explicit, documented choice.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Secure by default. Plaintext only with</w:t>
            </w:r>
            <w:r>
              <w:t xml:space="preserve"> </w:t>
            </w:r>
            <w:r>
              <w:rPr>
                <w:rStyle w:val="VerbatimChar"/>
              </w:rPr>
              <w:t xml:space="preserve">PULSE_INSECURE=1</w:t>
            </w:r>
            <w:r>
              <w:t xml:space="preserve">, which prints a boxed warning at start-up; suite check</w:t>
            </w:r>
            <w:r>
              <w:t xml:space="preserve"> </w:t>
            </w:r>
            <w:r>
              <w:rPr>
                <w:rStyle w:val="VerbatimChar"/>
              </w:rPr>
              <w:t xml:space="preserve">transport-security</w:t>
            </w:r>
            <w:r>
              <w:t xml:space="preserve"> </w:t>
            </w:r>
            <w:r>
              <w:t xml:space="preserve">skips and says so</w:t>
            </w:r>
          </w:p>
        </w:tc>
      </w:tr>
    </w:tbl>
    <w:bookmarkEnd w:id="36"/>
    <w:bookmarkStart w:id="37" w:name="non-functional-requirements"/>
    <w:p>
      <w:pPr>
        <w:pStyle w:val="Heading1"/>
      </w:pPr>
      <w:r>
        <w:t xml:space="preserve">4. Non-functional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NFR-1</w:t>
            </w:r>
          </w:p>
        </w:tc>
        <w:tc>
          <w:tcPr/>
          <w:p>
            <w:pPr>
              <w:pStyle w:val="Compact"/>
              <w:jc w:val="left"/>
            </w:pPr>
            <w:r>
              <w:t xml:space="preserve">Responsiveness: displayed values shall track the telemetry source with no perceptible lag at a glance.</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Fast signals at 10 Hz, one broker tick from publish to render; observed at the review demo</w:t>
            </w:r>
          </w:p>
        </w:tc>
      </w:tr>
      <w:tr>
        <w:tc>
          <w:tcPr/>
          <w:p>
            <w:pPr>
              <w:pStyle w:val="Compact"/>
              <w:jc w:val="left"/>
            </w:pPr>
            <w:r>
              <w:t xml:space="preserve">NFR-2</w:t>
            </w:r>
          </w:p>
        </w:tc>
        <w:tc>
          <w:tcPr/>
          <w:p>
            <w:pPr>
              <w:pStyle w:val="Compact"/>
              <w:jc w:val="left"/>
            </w:pPr>
            <w:r>
              <w:t xml:space="preserve">Legibility: primary values (speed, gear, engine speed) shall be readable in a sub-second glance, consistent with driver-distraction practice.</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Design reviewed on the strip; numerals sized for the 720 px height</w:t>
            </w:r>
          </w:p>
        </w:tc>
      </w:tr>
      <w:tr>
        <w:tc>
          <w:tcPr/>
          <w:p>
            <w:pPr>
              <w:pStyle w:val="Compact"/>
              <w:jc w:val="left"/>
            </w:pPr>
            <w:r>
              <w:t xml:space="preserve">NFR-3</w:t>
            </w:r>
          </w:p>
        </w:tc>
        <w:tc>
          <w:tcPr/>
          <w:p>
            <w:pPr>
              <w:pStyle w:val="Compact"/>
              <w:jc w:val="left"/>
            </w:pPr>
            <w:r>
              <w:t xml:space="preserve">Footprint: the Linux implementation shall be deployable on constrained embedded hardware; total platform footprint is a first-class evaluation criterion.</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Raspberry Pi 5 baseline, work package 03, week 9</w:t>
            </w:r>
          </w:p>
        </w:tc>
      </w:tr>
      <w:tr>
        <w:tc>
          <w:tcPr/>
          <w:p>
            <w:pPr>
              <w:pStyle w:val="Compact"/>
              <w:jc w:val="left"/>
            </w:pPr>
            <w:r>
              <w:t xml:space="preserve">NFR-4</w:t>
            </w:r>
          </w:p>
        </w:tc>
        <w:tc>
          <w:tcPr/>
          <w:p>
            <w:pPr>
              <w:pStyle w:val="Compact"/>
              <w:jc w:val="left"/>
            </w:pPr>
            <w:r>
              <w:t xml:space="preserve">Portability: migration to a different SoC or to a Yocto/AGL image shall not require HMI rework.</w:t>
            </w:r>
          </w:p>
        </w:tc>
        <w:tc>
          <w:tcPr/>
          <w:p>
            <w:pPr>
              <w:pStyle w:val="Compact"/>
              <w:jc w:val="left"/>
            </w:pPr>
            <w:r>
              <w:t xml:space="preserve">A</w:t>
            </w:r>
          </w:p>
        </w:tc>
        <w:tc>
          <w:tcPr/>
          <w:p>
            <w:pPr>
              <w:pStyle w:val="Compact"/>
              <w:jc w:val="left"/>
            </w:pPr>
            <w:r>
              <w:t xml:space="preserve">Planned S3</w:t>
            </w:r>
          </w:p>
        </w:tc>
        <w:tc>
          <w:tcPr/>
          <w:p>
            <w:pPr>
              <w:pStyle w:val="Compact"/>
              <w:jc w:val="left"/>
            </w:pPr>
            <w:r>
              <w:t xml:space="preserve">Argument to be recorded with the Pi 5 baseline; Flutter embedder is the only platform-specific layer</w:t>
            </w:r>
          </w:p>
        </w:tc>
      </w:tr>
      <w:tr>
        <w:tc>
          <w:tcPr/>
          <w:p>
            <w:pPr>
              <w:pStyle w:val="Compact"/>
              <w:jc w:val="left"/>
            </w:pPr>
            <w:r>
              <w:t xml:space="preserve">NFR-5</w:t>
            </w:r>
          </w:p>
        </w:tc>
        <w:tc>
          <w:tcPr/>
          <w:p>
            <w:pPr>
              <w:pStyle w:val="Compact"/>
              <w:jc w:val="left"/>
            </w:pPr>
            <w:r>
              <w:t xml:space="preserve">Reproducibility: a new engineer shall be able to bring up the full stack on a clean machine from documentation alone.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Bring-up of 2026-08-18 in ONBOARDING.md. On 2026-10-02 a second host rebuilt both environments from</w:t>
            </w:r>
            <w:r>
              <w:t xml:space="preserve"> </w:t>
            </w:r>
            <w:r>
              <w:rPr>
                <w:rStyle w:val="VerbatimChar"/>
              </w:rPr>
              <w:t xml:space="preserve">requirements.txt</w:t>
            </w:r>
            <w:r>
              <w:t xml:space="preserve"> </w:t>
            </w:r>
            <w:r>
              <w:t xml:space="preserve">with</w:t>
            </w:r>
            <w:r>
              <w:t xml:space="preserve"> </w:t>
            </w:r>
            <w:r>
              <w:rPr>
                <w:rStyle w:val="VerbatimChar"/>
              </w:rPr>
              <w:t xml:space="preserve">constraints.txt</w:t>
            </w:r>
            <w:r>
              <w:t xml:space="preserve"> </w:t>
            </w:r>
            <w:r>
              <w:t xml:space="preserve">and ran every provider, the driver monitor included; a fresh install matches the SBOM exactly. Re-run on the Pi 5 in S3</w:t>
            </w:r>
          </w:p>
        </w:tc>
      </w:tr>
      <w:tr>
        <w:tc>
          <w:tcPr/>
          <w:p>
            <w:pPr>
              <w:pStyle w:val="Compact"/>
              <w:jc w:val="left"/>
            </w:pPr>
            <w:r>
              <w:t xml:space="preserve">NFR-6</w:t>
            </w:r>
          </w:p>
        </w:tc>
        <w:tc>
          <w:tcPr/>
          <w:p>
            <w:pPr>
              <w:pStyle w:val="Compact"/>
              <w:jc w:val="left"/>
            </w:pPr>
            <w:r>
              <w:t xml:space="preserve">Openness: the stack shall be built from open-source components, with no proprietary runtime licence required for evaluation.</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KUKSA (Apache-2.0), VSS (MPL-2.0), Flutter (BSD), MediaPipe (Apache-2.0), AOSP; NOTICE file for the face model</w:t>
            </w:r>
          </w:p>
        </w:tc>
      </w:tr>
      <w:tr>
        <w:tc>
          <w:tcPr/>
          <w:p>
            <w:pPr>
              <w:pStyle w:val="Compact"/>
              <w:jc w:val="left"/>
            </w:pPr>
            <w:r>
              <w:t xml:space="preserve">NFR-7</w:t>
            </w:r>
          </w:p>
        </w:tc>
        <w:tc>
          <w:tcPr/>
          <w:p>
            <w:pPr>
              <w:pStyle w:val="Compact"/>
              <w:jc w:val="left"/>
            </w:pPr>
            <w:r>
              <w:t xml:space="preserve">Determinism: repeated runs of the same cycle shall produce the same signal sequence, so comparisons are valid.</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Same as FR-7: value sequence is deterministic in shape, sample timing is not. Fixed-step replay planned S4</w:t>
            </w:r>
          </w:p>
        </w:tc>
      </w:tr>
      <w:tr>
        <w:tc>
          <w:tcPr/>
          <w:p>
            <w:pPr>
              <w:pStyle w:val="Compact"/>
              <w:jc w:val="left"/>
            </w:pPr>
            <w:r>
              <w:t xml:space="preserve">NFR-8</w:t>
            </w:r>
          </w:p>
        </w:tc>
        <w:tc>
          <w:tcPr/>
          <w:p>
            <w:pPr>
              <w:pStyle w:val="Compact"/>
              <w:jc w:val="left"/>
            </w:pPr>
            <w:r>
              <w:t xml:space="preserve">Maintainability: upstream components shall be consumed at pinned versions, not floating heads.</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Broker by tag and digest; Python by</w:t>
            </w:r>
            <w:r>
              <w:t xml:space="preserve"> </w:t>
            </w:r>
            <w:r>
              <w:rPr>
                <w:rStyle w:val="VerbatimChar"/>
              </w:rPr>
              <w:t xml:space="preserve">requirements.txt</w:t>
            </w:r>
            <w:r>
              <w:t xml:space="preserve"> </w:t>
            </w:r>
            <w:r>
              <w:t xml:space="preserve">on Python 3.11; VSS 6.0 and vss-tools 6.0; Dart by</w:t>
            </w:r>
            <w:r>
              <w:t xml:space="preserve"> </w:t>
            </w:r>
            <w:r>
              <w:rPr>
                <w:rStyle w:val="VerbatimChar"/>
              </w:rPr>
              <w:t xml:space="preserve">pubspec.lock</w:t>
            </w:r>
            <w:r>
              <w:t xml:space="preserve">; Flutter 3.47.0 in</w:t>
            </w:r>
            <w:r>
              <w:t xml:space="preserve"> </w:t>
            </w:r>
            <w:r>
              <w:rPr>
                <w:rStyle w:val="VerbatimChar"/>
              </w:rPr>
              <w:t xml:space="preserve">.fvmrc</w:t>
            </w:r>
            <w:r>
              <w:t xml:space="preserve">, enforced by suite check</w:t>
            </w:r>
            <w:r>
              <w:t xml:space="preserve"> </w:t>
            </w:r>
            <w:r>
              <w:rPr>
                <w:rStyle w:val="VerbatimChar"/>
              </w:rPr>
              <w:t xml:space="preserve">toolchain-pin</w:t>
            </w:r>
          </w:p>
        </w:tc>
      </w:tr>
    </w:tbl>
    <w:bookmarkEnd w:id="37"/>
    <w:bookmarkStart w:id="38" w:name="constraints-and-assumptions"/>
    <w:p>
      <w:pPr>
        <w:pStyle w:val="Heading1"/>
      </w:pPr>
      <w:r>
        <w:t xml:space="preserve">5. Constraints and assumptions</w:t>
      </w:r>
    </w:p>
    <w:p>
      <w:pPr>
        <w:pStyle w:val="FirstParagraph"/>
      </w:pPr>
      <w:r>
        <w:t xml:space="preserve">Constraints C-1 to C-5 and assumptions A-1 to A-3 are owned by PULSE-StRS-001 section 5 and apply here unchanged.</w:t>
      </w:r>
    </w:p>
    <w:bookmarkEnd w:id="38"/>
    <w:bookmarkStart w:id="39" w:name="requirement-summary-at-week-3"/>
    <w:p>
      <w:pPr>
        <w:pStyle w:val="Heading1"/>
      </w:pPr>
      <w:r>
        <w:t xml:space="preserve">6. Requirement summary at week 3</w:t>
      </w:r>
    </w:p>
    <w:p>
      <w:pPr>
        <w:pStyle w:val="FirstParagraph"/>
      </w:pPr>
      <w:r>
        <w:t xml:space="preserve">The counts are not repeated here. PULSE-RTM-001 section 1 computes them from the requirement rows in this document every time the documents are built, so it is always current and this page could only drift away from it.</w:t>
      </w:r>
    </w:p>
    <w:p>
      <w:pPr>
        <w:pStyle w:val="BodyText"/>
      </w:pPr>
      <w:r>
        <w:t xml:space="preserve">That matrix also covers safety (SR) and security (CS) requirements, which live in PULSE-SAF-001 and PULSE-SEC-001.</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2026-10-02T00:54:15Z</dcterms:created>
  <dcterms:modified xsi:type="dcterms:W3CDTF">2026-10-02T00:54:15Z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System Requirements Specification</vt:lpwstr>
  </property>
</Properties>
</file>