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31.png" ContentType="image/png"/>
  <Override PartName="/word/media/rId47.png" ContentType="image/png"/>
  <Override PartName="/word/media/rId23.png" ContentType="image/png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</w:t>
      </w:r>
      <w:r>
        <w:t xml:space="preserve"> </w:t>
      </w:r>
      <w:r>
        <w:t xml:space="preserve">Instrument</w:t>
      </w:r>
      <w:r>
        <w:t xml:space="preserve"> </w:t>
      </w:r>
      <w:r>
        <w:t xml:space="preserve">Cluster</w:t>
      </w:r>
    </w:p>
    <w:p>
      <w:pPr>
        <w:pStyle w:val="Subtitle"/>
      </w:pPr>
      <w:r>
        <w:t xml:space="preserve">System</w:t>
      </w:r>
      <w:r>
        <w:t xml:space="preserve"> </w:t>
      </w:r>
      <w:r>
        <w:t xml:space="preserve">Architecture</w:t>
      </w:r>
      <w:r>
        <w:t xml:space="preserve"> </w:t>
      </w:r>
      <w:r>
        <w:t xml:space="preserve">Description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Abdelghany</w:t>
      </w:r>
    </w:p>
    <w:p>
      <w:pPr>
        <w:pStyle w:val="Date"/>
      </w:pPr>
      <w:r>
        <w:t xml:space="preserve">2026-09-23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PULSE-SAD-001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for sprint 1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Abdelghany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Cockpit Electronics / HMI Platform Group (sponsor)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review, week 3, 4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PULSE-StRS-001, PULSE-SAF-001, PULSE-SEC-001, PULSE-RTM-001</w:t>
            </w:r>
          </w:p>
        </w:tc>
      </w:tr>
    </w:tbl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792"/>
        <w:gridCol w:w="1108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baseline, written from the running system: context, components, interfaces, runtime, deployment, decisions and deviations, signal contract appendix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Layering, worked signal path (new section 5.4), runtime loop, manoeuvre state machine and deployment diagrams added; architecture principle diagram moved to draw.io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5.4 worked example now traces one road speed from the bus to the dial with real signal names and values. DD-10 closed: the databroker image is pinned by tag and digest. Glossary pointer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interface now TLS with token authorisation; DD-6 and DD-11 closed; DD-12 records token authentication in place of client certificates; broker access module and CAN feeder spike added to the component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Abdelghany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DBC and CAN overlay: every signal the cluster shows can now arrive over the bus (50 mapped signals in 14 frames). CAN feeder row and overlay table updated</w:t>
            </w:r>
          </w:p>
        </w:tc>
      </w:tr>
    </w:tbl>
    <w:bookmarkEnd w:id="20"/>
    <w:bookmarkEnd w:id="21"/>
    <w:bookmarkStart w:id="2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document describes the architecture that satisfies PULSE-SyRS-001. It is the architecture baseline named in work package 01. It records what exists at week 3, what is planned, and the design decisions a later safety or security argument would need to know about (PULSE-SAF-001 SR-10).</w:t>
      </w:r>
    </w:p>
    <w:p>
      <w:pPr>
        <w:pStyle w:val="BodyText"/>
      </w:pPr>
      <w:r>
        <w:t xml:space="preserve">It is a system-level description. Per-component software architecture (SWAD) is deferred to sprint 2 for the cluster and the providers.</w:t>
      </w:r>
    </w:p>
    <w:p>
      <w:pPr>
        <w:pStyle w:val="BodyText"/>
      </w:pPr>
      <w:r>
        <w:t xml:space="preserve">Abbreviations used here are defined in the glossary, PULSE-StRS-001 section 8.</w:t>
      </w:r>
    </w:p>
    <w:bookmarkEnd w:id="22"/>
    <w:bookmarkStart w:id="26" w:name="architectural-principle"/>
    <w:p>
      <w:pPr>
        <w:pStyle w:val="Heading1"/>
      </w:pPr>
      <w:r>
        <w:t xml:space="preserve">2. Architectural principle</w:t>
      </w:r>
    </w:p>
    <w:p>
      <w:pPr>
        <w:pStyle w:val="FirstParagraph"/>
      </w:pPr>
      <w:r>
        <w:t xml:space="preserve">Every component meets every other component only at the signal broker, and only through named signals from a standard catalogue. No component knows the others exist. Above the broker there is no CAN, no DBC and no hardware. Below the broker there is no user interface.</w:t>
      </w:r>
    </w:p>
    <w:p>
      <w:pPr>
        <w:pStyle w:val="CaptionedFigure"/>
      </w:pPr>
      <w:r>
        <w:drawing>
          <wp:inline>
            <wp:extent cx="5334000" cy="2739220"/>
            <wp:effectExtent b="0" l="0" r="0" t="0"/>
            <wp:docPr descr="Architecture principle: providers publish, consumers subscribe, nothing meets anywhere but the broker." title="" id="24" name="Picture"/>
            <a:graphic>
              <a:graphicData uri="http://schemas.openxmlformats.org/drawingml/2006/picture">
                <pic:pic>
                  <pic:nvPicPr>
                    <pic:cNvPr descr="diagrams/pulse-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principle: providers publish, consumers subscribe, nothing meets anywhere but the broker.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docs/diagrams/pulse-architecture.drawio</w:t>
      </w:r>
      <w:r>
        <w:t xml:space="preserve"> </w:t>
      </w:r>
      <w:r>
        <w:t xml:space="preserve">(edit in draw.io, re-export with</w:t>
      </w:r>
      <w:r>
        <w:t xml:space="preserve"> </w:t>
      </w:r>
      <w:r>
        <w:rPr>
          <w:rStyle w:val="VerbatimChar"/>
        </w:rPr>
        <w:t xml:space="preserve">scripts/build-docs.sh</w:t>
      </w:r>
      <w:r>
        <w:t xml:space="preserve">).</w:t>
      </w:r>
    </w:p>
    <w:p>
      <w:pPr>
        <w:pStyle w:val="BodyText"/>
      </w:pPr>
      <w:r>
        <w:t xml:space="preserve">Swapping the simulator for a real CAN bus changes one box on the left. No consumer is recompiled (FR-5, FR-8).</w:t>
      </w:r>
    </w:p>
    <w:bookmarkEnd w:id="26"/>
    <w:bookmarkStart w:id="29" w:name="context"/>
    <w:p>
      <w:pPr>
        <w:pStyle w:val="Heading1"/>
      </w:pPr>
      <w:r>
        <w:t xml:space="preserve">3. Context</w:t>
      </w:r>
    </w:p>
    <w:bookmarkStart w:id="27" w:name="system-boundary"/>
    <w:p>
      <w:pPr>
        <w:pStyle w:val="Heading2"/>
      </w:pPr>
      <w:r>
        <w:t xml:space="preserve">3.1 System boundary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Inside the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catalogue and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vehicle and its buses (no vehicle exists on the desk rig)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driver (observed by the camera, addressed by the 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providers: simulator, driver monitor, later CAN feeder and Autoware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display panel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HMI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 operating system, container runtime and graphics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 scripts and the regression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Android Automotive emulator or device</w:t>
            </w:r>
          </w:p>
        </w:tc>
      </w:tr>
    </w:tbl>
    <w:bookmarkEnd w:id="27"/>
    <w:bookmarkStart w:id="28" w:name="external-interfaces"/>
    <w:p>
      <w:pPr>
        <w:pStyle w:val="Heading2"/>
      </w:pPr>
      <w:r>
        <w:t xml:space="preserve">3.2 External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792"/>
        <w:gridCol w:w="3009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V4L2 (</w:t>
            </w:r>
            <w:r>
              <w:rPr>
                <w:rStyle w:val="VerbatimChar"/>
              </w:rPr>
              <w:t xml:space="preserve">/dev/video0</w:t>
            </w:r>
            <w:r>
              <w:t xml:space="preserve">), 1280 x 720 at 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never leave the driver-monitor process (CS-6)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DisplayPort alt mode over USB-C, 2560 x 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Located at runtime by</w:t>
            </w:r>
            <w:r>
              <w:t xml:space="preserve"> </w:t>
            </w:r>
            <w:r>
              <w:rPr>
                <w:rStyle w:val="VerbatimChar"/>
              </w:rPr>
              <w:t xml:space="preserve">xrandr</w:t>
            </w:r>
            <w:r>
              <w:t xml:space="preserve">, placement via</w:t>
            </w:r>
            <w:r>
              <w:t xml:space="preserve"> </w:t>
            </w:r>
            <w:r>
              <w:rPr>
                <w:rStyle w:val="VerbatimChar"/>
              </w:rPr>
              <w:t xml:space="preserve">CLUSTER_GEOM</w:t>
            </w:r>
            <w:r>
              <w:t xml:space="preserve"> </w:t>
            </w:r>
            <w:r>
              <w:t xml:space="preserve">(IR-4)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SocketCAN (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then a CAN HAT on 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Autoware planning simulation via ROS 2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 to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 reverse to reach the broker on the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Emulator today; device is backlog</w:t>
            </w:r>
          </w:p>
        </w:tc>
      </w:tr>
    </w:tbl>
    <w:bookmarkEnd w:id="28"/>
    <w:bookmarkEnd w:id="29"/>
    <w:bookmarkStart w:id="35" w:name="components"/>
    <w:p>
      <w:pPr>
        <w:pStyle w:val="Heading1"/>
      </w:pPr>
      <w:r>
        <w:t xml:space="preserve">4. Components</w:t>
      </w:r>
    </w:p>
    <w:bookmarkStart w:id="30" w:name="component-catalogue"/>
    <w:p>
      <w:pPr>
        <w:pStyle w:val="Heading2"/>
      </w:pPr>
      <w:r>
        <w:t xml:space="preserve">4.1 Component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2217"/>
        <w:gridCol w:w="2217"/>
        <w:gridCol w:w="1267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every signal, its type, unit, range and 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COVESA VSS 6.0 plus AGL overlay plus two PULSE overlays, compiled with vss-tools to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(VSS, AGL overlay), authored (PULSE overlays)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tree, validates writes, fans out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 KUKSA databroker 0.7.0, Rust, in 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scripts/start-databroker.sh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 a plausible, correlated drive cycle; runs the minimum-risk manoeuvre in cruise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kuksa-client 0.5.2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emulator/telemetry_sim.py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landmarks to fatigue, distraction and alert state; publishes derived state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MediaPipe FaceLandmarker (3.7 MB model, CPU), 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(pipeline), upstream (model)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emulator/dms.py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emulator/models/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monitor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window: landmarks, metrics, thresholds; can stand in for the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emulator/dms_viewer.py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RPM-driven engine sound, a third independent subscriber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emulator/engine_audio.py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module every Python client connects through: TLS, its role’s token, or plaintext 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emulator/broker.py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KUKSA’s CAN provider on a virtual bus with AGL’s DBC plus the PULSE DBC; fed by the simulator’s CAN mode or by hand from the Vehicle Control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Container, Python, 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(provider), authored (feeders, panel, PULSE DBC)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emulator/can_bus.py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emulator/vehicle_control/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vss/dbc/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on Linux; two screens (PULSE racing, classic analogue) in a swipeable pager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Flutter, Dart, custom-painted canvas; gRPC stubs generated from the KUKSA protos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(UI, service), generated (stubs), scaffold (runner, one deliberate edit)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pulse-cluster/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design on Android 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Kotlin, Jetpack Compose,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pulse-cluster-android/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AGL reference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AGL’s own Flutter cluster, used as a comparison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Upstream, cloned from AGL Gerrit, not part of this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flutter-instrument-cluster/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and stop the stack, place the window, fall back to a normal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Onboarding, this specification set, traceability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Markdown,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</w:tbl>
    <w:p>
      <w:pPr>
        <w:pStyle w:val="BodyText"/>
      </w:pPr>
      <w:r>
        <w:t xml:space="preserve">The two HMIs share no code. They share only the signal contract in appendix A.</w:t>
      </w:r>
    </w:p>
    <w:bookmarkEnd w:id="30"/>
    <w:bookmarkStart w:id="34" w:name="layering"/>
    <w:p>
      <w:pPr>
        <w:pStyle w:val="Heading2"/>
      </w:pPr>
      <w:r>
        <w:t xml:space="preserve">4.2 Layering</w:t>
      </w:r>
    </w:p>
    <w:p>
      <w:pPr>
        <w:pStyle w:val="CaptionedFigure"/>
      </w:pPr>
      <w:r>
        <w:drawing>
          <wp:inline>
            <wp:extent cx="5334000" cy="2346662"/>
            <wp:effectExtent b="0" l="0" r="0" t="0"/>
            <wp:docPr descr="Three layers and the abstraction line. Nothing above the line knows a CAN frame, a DBC file or a device." title="" id="32" name="Picture"/>
            <a:graphic>
              <a:graphicData uri="http://schemas.openxmlformats.org/drawingml/2006/picture">
                <pic:pic>
                  <pic:nvPicPr>
                    <pic:cNvPr descr="diagrams/layer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layers and the abstraction line. Nothing above the line knows a CAN frame, a DBC file or a device.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docs/diagrams/layering.drawio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4593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cluster, Compose cluster, driver monitor, safety-loop logic in the simulator, Autoware bridge, vehicle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Consumes and produces signals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Abstraction 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CAN, DBC or device knowledge above this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HAL and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KUKSA databroker, VSS tree and overlays, gRPC transport, CAN provider with DBC decode, MediaPipe runtime, window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become signals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 MCAL and board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kernel and device tree, SPI and CAN controller driver, SocketCAN, V4L2 camera, DRM/KMS 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 and kernel</w:t>
            </w:r>
          </w:p>
        </w:tc>
      </w:tr>
    </w:tbl>
    <w:bookmarkEnd w:id="34"/>
    <w:bookmarkEnd w:id="35"/>
    <w:bookmarkStart w:id="43" w:name="interfaces"/>
    <w:p>
      <w:pPr>
        <w:pStyle w:val="Heading1"/>
      </w:pPr>
      <w:r>
        <w:t xml:space="preserve">5. Interfaces</w:t>
      </w:r>
    </w:p>
    <w:bookmarkStart w:id="36" w:name="broker-interface"/>
    <w:p>
      <w:pPr>
        <w:pStyle w:val="Heading2"/>
      </w:pPr>
      <w:r>
        <w:t xml:space="preserve">5.1 Broker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6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over HTTP/2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kuksa.val.v1</w:t>
            </w:r>
            <w:r>
              <w:t xml:space="preserve"> </w:t>
            </w:r>
            <w:r>
              <w:t xml:space="preserve">(Get, Set, Subscribe 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127.0.0.1:55555</w:t>
            </w:r>
            <w:r>
              <w:t xml:space="preserve">, bound to loopback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to a development certificate by default; plaintext only with</w:t>
            </w:r>
            <w:r>
              <w:t xml:space="preserve"> </w:t>
            </w:r>
            <w:r>
              <w:rPr>
                <w:rStyle w:val="VerbatimChar"/>
              </w:rPr>
              <w:t xml:space="preserve">PULSE_INSECURE=1</w:t>
            </w:r>
            <w:r>
              <w:t xml:space="preserve"> </w:t>
            </w:r>
            <w:r>
              <w:t xml:space="preserve">and a warning (PULSE-SEC-001 CS-3)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token per client, scoped: consumers read, providers provide their own signals (PULSE-SEC-001 CS-4, DD-12)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rejects a value whose datatype,</w:t>
            </w:r>
            <w:r>
              <w:t xml:space="preserve"> </w:t>
            </w:r>
            <w:r>
              <w:rPr>
                <w:rStyle w:val="VerbatimChar"/>
              </w:rPr>
              <w:t xml:space="preserve">allowed</w:t>
            </w:r>
            <w:r>
              <w:t xml:space="preserve"> </w:t>
            </w:r>
            <w:r>
              <w:t xml:space="preserve">list or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does not match the catalogue (IR-2, CS-5)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Dart and Kotlin generated from the same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  <w:r>
              <w:t xml:space="preserve"> </w:t>
            </w:r>
            <w:r>
              <w:t xml:space="preserve">files; Python via kuksa-client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kuksa.val.v1</w:t>
      </w:r>
      <w:r>
        <w:t xml:space="preserve"> </w:t>
      </w:r>
      <w:r>
        <w:t xml:space="preserve">was chosen over the newer</w:t>
      </w:r>
      <w:r>
        <w:t xml:space="preserve"> </w:t>
      </w:r>
      <w:r>
        <w:rPr>
          <w:rStyle w:val="VerbatimChar"/>
        </w:rPr>
        <w:t xml:space="preserve">kuksa.val.v2</w:t>
      </w:r>
      <w:r>
        <w:t xml:space="preserve"> </w:t>
      </w:r>
      <w:r>
        <w:t xml:space="preserve">because AGL’s reference stack and the AGL overlay target v1. Migration to v2 is a recorded decision, section 8.</w:t>
      </w:r>
    </w:p>
    <w:bookmarkEnd w:id="36"/>
    <w:bookmarkStart w:id="37" w:name="publish-rates"/>
    <w:p>
      <w:pPr>
        <w:pStyle w:val="Heading2"/>
      </w:pPr>
      <w:r>
        <w:t xml:space="preserve">5.2 Publish rates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443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simulator, fast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engine speed, gear, throttle, lap time, DRS, ERS, intervention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Hz, changed values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simulator, slow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Fuel, coolant, odometer, tyre pressures, heart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simulator, 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Units, performance mode, lamp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Fatigue, distraction, attention, eyes-on-road, active, alert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Hz publish, 15 Hz processing</w:t>
            </w:r>
          </w:p>
        </w:tc>
      </w:tr>
    </w:tbl>
    <w:bookmarkEnd w:id="37"/>
    <w:bookmarkStart w:id="38" w:name="signal-contract"/>
    <w:p>
      <w:pPr>
        <w:pStyle w:val="Heading2"/>
      </w:pPr>
      <w:r>
        <w:t xml:space="preserve">5.3 Signal contract</w:t>
      </w:r>
    </w:p>
    <w:p>
      <w:pPr>
        <w:pStyle w:val="FirstParagraph"/>
      </w:pPr>
      <w:r>
        <w:t xml:space="preserve">The signal contract is the set of VSS paths a consumer may rely on. It is listed in appendix A and is the only coupling between producers and consumers. A signal contract test (sprint 2) asserts that every path in appendix A resolves in the compiled tree with the expected datatype and unit.</w:t>
      </w:r>
    </w:p>
    <w:bookmarkEnd w:id="38"/>
    <w:bookmarkStart w:id="42" w:name="worked-example-one-signal-bottom-to-top"/>
    <w:p>
      <w:pPr>
        <w:pStyle w:val="Heading2"/>
      </w:pPr>
      <w:r>
        <w:t xml:space="preserve">5.4 Worked example: one signal, bottom to top</w:t>
      </w:r>
    </w:p>
    <w:p>
      <w:pPr>
        <w:pStyle w:val="FirstParagraph"/>
      </w:pPr>
      <w:r>
        <w:t xml:space="preserve">Follow one value, a road speed of 87.4 km/h, from the wire to the dial. It travels as</w:t>
      </w:r>
      <w:r>
        <w:t xml:space="preserve"> </w:t>
      </w:r>
      <w:r>
        <w:rPr>
          <w:rStyle w:val="VerbatimChar"/>
        </w:rPr>
        <w:t xml:space="preserve">Vehicle.Speed</w:t>
      </w:r>
      <w:r>
        <w:t xml:space="preserve">, which appendix A defines as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in km/h. Today the simulator enters at step 3; steps 1 and 2 are the sprint 3 CAN provider.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4658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value is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powertrain ECU puts the frame carrying</w:t>
            </w:r>
            <w:r>
              <w:t xml:space="preserve"> </w:t>
            </w:r>
            <w:r>
              <w:rPr>
                <w:rStyle w:val="VerbatimChar"/>
              </w:rPr>
              <w:t xml:space="preserve">PT_VehicleSpeed</w:t>
            </w:r>
            <w:r>
              <w:t xml:space="preserve"> </w:t>
            </w:r>
            <w:r>
              <w:t xml:space="preserve">on the bus. SocketCAN hands the raw bytes to user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bus bytes, meaningless on their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provider applies the scale and offset the DBC defines for that signal, then maps it to a catalogue path. The mapping and its 100 ms interval are in</w:t>
            </w:r>
            <w:r>
              <w:t xml:space="preserve"> </w:t>
            </w:r>
            <w:r>
              <w:rPr>
                <w:rStyle w:val="VerbatimChar"/>
              </w:rPr>
              <w:t xml:space="preserve">vss/agl_vss_overlay.vspec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number, 87.4, now named</w:t>
            </w:r>
            <w:r>
              <w:t xml:space="preserve"> </w:t>
            </w:r>
            <w:r>
              <w:rPr>
                <w:rStyle w:val="VerbatimChar"/>
              </w:rPr>
              <w:t xml:space="preserve">Vehicle.Speed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provider publishes to the broker over gRPC. Today</w:t>
            </w:r>
            <w:r>
              <w:t xml:space="preserve"> </w:t>
            </w:r>
            <w:r>
              <w:rPr>
                <w:rStyle w:val="VerbatimChar"/>
              </w:rPr>
              <w:t xml:space="preserve">emulator/telemetry_sim.py</w:t>
            </w:r>
            <w:r>
              <w:t xml:space="preserve"> </w:t>
            </w:r>
            <w:r>
              <w:t xml:space="preserve">sets the same path at 10 Hz instead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Vehicle.Speed</w:t>
            </w:r>
            <w:r>
              <w:t xml:space="preserve"> </w:t>
            </w:r>
            <w:r>
              <w:t xml:space="preserve">= 87.4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broker checks it against the catalogue entry. A wrong type or an out-of-range value is refused and never reaches a consumer (IR-2, CS-5)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  <w:r>
              <w:t xml:space="preserve">, km/h, in range,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open subscription is pushed the value with its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and Compose both redraw the dial</w:t>
            </w:r>
          </w:p>
        </w:tc>
      </w:tr>
    </w:tbl>
    <w:p>
      <w:pPr>
        <w:pStyle w:val="BodyText"/>
      </w:pPr>
      <w:r>
        <w:t xml:space="preserve">Only steps 1 and 2 know that CAN exists. From step 3 on the value is just a named number, and a consumer cannot tell whether it came from a bus, the simulator or a replayed log. Note also where the protocols stop: gRPC exists only above the line, and below it there is no RPC at all.</w:t>
      </w:r>
    </w:p>
    <w:p>
      <w:pPr>
        <w:pStyle w:val="CaptionedFigure"/>
      </w:pPr>
      <w:r>
        <w:drawing>
          <wp:inline>
            <wp:extent cx="5334000" cy="1757527"/>
            <wp:effectExtent b="0" l="0" r="0" t="0"/>
            <wp:docPr descr="One signal from the wire to the dial. Steps 01 and 02 are the sprint 3 CAN provider; today the simulator enters at step 03." title="" id="40" name="Picture"/>
            <a:graphic>
              <a:graphicData uri="http://schemas.openxmlformats.org/drawingml/2006/picture">
                <pic:pic>
                  <pic:nvPicPr>
                    <pic:cNvPr descr="diagrams/signal-pat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signal from the wire to the dial. Steps 01 and 02 are the sprint 3 CAN provider; today the simulator enters at step 03.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docs/diagrams/signal-path.drawio</w:t>
      </w:r>
      <w:r>
        <w:t xml:space="preserve">.</w:t>
      </w:r>
    </w:p>
    <w:bookmarkEnd w:id="42"/>
    <w:bookmarkEnd w:id="43"/>
    <w:bookmarkStart w:id="51" w:name="runtime-view"/>
    <w:p>
      <w:pPr>
        <w:pStyle w:val="Heading1"/>
      </w:pPr>
      <w:r>
        <w:t xml:space="preserve">6. Runtime view</w:t>
      </w:r>
    </w:p>
    <w:p>
      <w:pPr>
        <w:pStyle w:val="FirstParagraph"/>
      </w:pPr>
      <w:r>
        <w:t xml:space="preserve">One turn of the loop, repeated at the broker tick:</w:t>
      </w:r>
    </w:p>
    <w:p>
      <w:pPr>
        <w:pStyle w:val="CaptionedFigure"/>
      </w:pPr>
      <w:r>
        <w:drawing>
          <wp:inline>
            <wp:extent cx="5334000" cy="4334363"/>
            <wp:effectExtent b="0" l="0" r="0" t="0"/>
            <wp:docPr descr="One turn of the cycle. It never stops turning, and no central coordinator drives it." title="" id="45" name="Picture"/>
            <a:graphic>
              <a:graphicData uri="http://schemas.openxmlformats.org/drawingml/2006/picture">
                <pic:pic>
                  <pic:nvPicPr>
                    <pic:cNvPr descr="diagrams/runtime-loop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turn of the cycle. It never stops turning, and no central coordinator drives it.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docs/diagrams/runtime-loop.drawio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1108"/>
        <w:gridCol w:w="6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frames off the bus (simulator today), camera frame off V4L2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DBC decode on the vehicle side; face landmarks and behaviour metrics on the driver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providers write VSS signals at 10 Hz; the broker range-checks each value against the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broker pushes each change down every open subscription stream; no provider knows who listens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simulator’s intervention state machine evaluates the alert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clusters redraw: values, warnings, the alert banner, the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Hazards on, cruise disengaged, controlled braking to standstill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actuation appears as new signal data and the loop closes without a central coordinator</w:t>
            </w:r>
          </w:p>
        </w:tc>
      </w:tr>
    </w:tbl>
    <w:p>
      <w:pPr>
        <w:pStyle w:val="BodyText"/>
      </w:pPr>
      <w:r>
        <w:t xml:space="preserve">Perception to displayed alert stays inside one 100 ms broker tick. Cluster and monitor never call each other.</w:t>
      </w:r>
    </w:p>
    <w:bookmarkStart w:id="50" w:name="minimum-risk-manoeuvre-state-machine"/>
    <w:p>
      <w:pPr>
        <w:pStyle w:val="Heading2"/>
      </w:pPr>
      <w:r>
        <w:t xml:space="preserve">6.1 Minimum-risk manoeuvre state machine</w:t>
      </w:r>
    </w:p>
    <w:p>
      <w:pPr>
        <w:pStyle w:val="FirstParagraph"/>
      </w:pPr>
      <w:r>
        <w:t xml:space="preserve">Held in the simulator’s cruise mode, driven only by</w:t>
      </w:r>
      <w:r>
        <w:t xml:space="preserve"> </w:t>
      </w:r>
      <w:r>
        <w:rPr>
          <w:rStyle w:val="VerbatimChar"/>
        </w:rPr>
        <w:t xml:space="preserve">Vehicle.Driver.Monitoring.AlertState</w:t>
      </w:r>
      <w:r>
        <w:t xml:space="preserve">:</w:t>
      </w:r>
    </w:p>
    <w:p>
      <w:pPr>
        <w:pStyle w:val="CaptionedFigure"/>
      </w:pPr>
      <w:r>
        <w:drawing>
          <wp:inline>
            <wp:extent cx="5334000" cy="1539781"/>
            <wp:effectExtent b="0" l="0" r="0" t="0"/>
            <wp:docPr descr="The minimum-risk manoeuvre state machine with its current parameters." title="" id="48" name="Picture"/>
            <a:graphic>
              <a:graphicData uri="http://schemas.openxmlformats.org/drawingml/2006/picture">
                <pic:pic>
                  <pic:nvPicPr>
                    <pic:cNvPr descr="diagrams/mrm-state-machin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minimum-risk manoeuvre state machine with its current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docs/diagrams/mrm-state-machine.drawio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3168"/>
        <w:gridCol w:w="3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Start, or countdown aborted, or resume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AlertState becomes DROWSY: go to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DROWSY sustained past the 3 s alert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AlertState leaves DROWSY: back to NONE. Countdown of 5 s expires: go to BRAKING with hazards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reaches 0: go to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AlertState NONE for 5 s: hazards off, resume cruise, back to NONE</w:t>
            </w:r>
          </w:p>
        </w:tc>
      </w:tr>
    </w:tbl>
    <w:p>
      <w:pPr>
        <w:pStyle w:val="BodyText"/>
      </w:pPr>
      <w:r>
        <w:t xml:space="preserve">The specification of this mechanism as a safety mechanism, with its parameters, is PULSE-SAF-001 SM-3.</w:t>
      </w:r>
    </w:p>
    <w:bookmarkEnd w:id="50"/>
    <w:bookmarkEnd w:id="51"/>
    <w:bookmarkStart w:id="57" w:name="deployment-view"/>
    <w:p>
      <w:pPr>
        <w:pStyle w:val="Heading1"/>
      </w:pPr>
      <w:r>
        <w:t xml:space="preserve">7. Deployment view</w:t>
      </w:r>
    </w:p>
    <w:p>
      <w:pPr>
        <w:pStyle w:val="CaptionedFigure"/>
      </w:pPr>
      <w:r>
        <w:drawing>
          <wp:inline>
            <wp:extent cx="5334000" cy="2320972"/>
            <wp:effectExtent b="0" l="0" r="0" t="0"/>
            <wp:docPr descr="The desk rig at week 3 and the sprint 3 target rig. The same Flutter bundle runs on both; the embedder is the only platform-specific layer." title="" id="53" name="Picture"/>
            <a:graphic>
              <a:graphicData uri="http://schemas.openxmlformats.org/drawingml/2006/picture">
                <pic:pic>
                  <pic:nvPicPr>
                    <pic:cNvPr descr="diagrams/deploymen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desk rig at week 3 and the sprint 3 target rig. The same Flutter bundle runs on both; the embedder is the only platform-specific layer.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docs/diagrams/deployment.drawio</w:t>
      </w:r>
      <w:r>
        <w:t xml:space="preserve">.</w:t>
      </w:r>
    </w:p>
    <w:bookmarkStart w:id="55" w:name="desk-rig-week-3"/>
    <w:p>
      <w:pPr>
        <w:pStyle w:val="Heading2"/>
      </w:pPr>
      <w:r>
        <w:t xml:space="preserve">7.1 Desk rig, week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PC, Ubuntu, x86-64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Databroker (container), simulator, driver monitor, engine audio, Flutter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process each; started by</w:t>
            </w:r>
            <w:r>
              <w:t xml:space="preserve"> </w:t>
            </w:r>
            <w:r>
              <w:rPr>
                <w:rStyle w:val="VerbatimChar"/>
              </w:rPr>
              <w:t xml:space="preserve">run.sh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scripts/start-stack.sh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Corsair Xeneon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cluster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2560 x 720, DisplayPort alt mode; located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monitor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 x 720 at 30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Automotive 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Reaches the host broker through ADB reverse</w:t>
            </w:r>
          </w:p>
        </w:tc>
      </w:tr>
    </w:tbl>
    <w:bookmarkEnd w:id="55"/>
    <w:bookmarkStart w:id="56" w:name="target-rig-sprint-3"/>
    <w:p>
      <w:pPr>
        <w:pStyle w:val="Heading2"/>
      </w:pPr>
      <w:r>
        <w:t xml:space="preserve">7.2 Target rig, sprint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Raspberry Pi 5, 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Linux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the performance envelope off the desktop (NFR-3)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HAT on 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MCP2515-class controller with transceiver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 as SocketCAN;</w:t>
            </w:r>
            <w:r>
              <w:t xml:space="preserve"> </w:t>
            </w:r>
            <w:r>
              <w:rPr>
                <w:rStyle w:val="VerbatimChar"/>
              </w:rPr>
              <w:t xml:space="preserve">vcan0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Corsair Xeneon Edge, USB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Nothing on either rig is automotive-qualified, and the software does not assume it is.</w:t>
      </w:r>
    </w:p>
    <w:bookmarkEnd w:id="56"/>
    <w:bookmarkEnd w:id="57"/>
    <w:bookmarkStart w:id="58" w:name="design-decisions-and-deviations"/>
    <w:p>
      <w:pPr>
        <w:pStyle w:val="Heading1"/>
      </w:pPr>
      <w:r>
        <w:t xml:space="preserve">8. Design decisions and deviations</w:t>
      </w:r>
    </w:p>
    <w:p>
      <w:pPr>
        <w:pStyle w:val="FirstParagraph"/>
      </w:pPr>
      <w:r>
        <w:t xml:space="preserve">Recorded here because PULSE-SAF-001 SR-10 requires every decision that could block a later ASIL argument to be written down with its rationale.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2217"/>
        <w:gridCol w:w="2217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for a production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 toolkit: Flutter on Linux as the primary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AGL’s cluster toolkit of choice; open source; one engineer can reach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safety-qualified Flutter renderer exists; a production cluster would need a qualified renderer or a supervisor that verifies the drawn output (SR-6)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HMI: Jetpack Compose on Android 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the sponsor’s question with a measured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AAOS platform footprint is 25x the Linux path; Linux stays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Broker: Eclipse KUKSA databroker in 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implementation of the VSS broker; used by AGL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runtime is a desk convenience; target deployment runs it as a native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version:</w:t>
            </w:r>
            <w:r>
              <w:t xml:space="preserve"> </w:t>
            </w:r>
            <w:r>
              <w:rPr>
                <w:rStyle w:val="VerbatimChar"/>
              </w:rPr>
              <w:t xml:space="preserve">kuksa.val.v1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AGL and its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to v2 when AGL moves; stubs regenerate from the protos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catalogue pinned to VSS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Upgrades are reviewed changes; the AGL overlay must be re-validated per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transport: plaintext gRPC on loopback (</w:t>
            </w:r>
            <w:r>
              <w:rPr>
                <w:rStyle w:val="VerbatimChar"/>
              </w:rPr>
              <w:t xml:space="preserve">--insecure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rig, one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in sprint 2: secure by default, plaintext only on request with a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system on the desk rig: X11 with</w:t>
            </w:r>
            <w:r>
              <w:t xml:space="preserve"> </w:t>
            </w:r>
            <w:r>
              <w:rPr>
                <w:rStyle w:val="VerbatimChar"/>
              </w:rPr>
              <w:t xml:space="preserve">xrandr</w:t>
            </w:r>
            <w:r>
              <w:t xml:space="preserve"> </w:t>
            </w: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host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uses Wayland; the runner reads</w:t>
            </w:r>
            <w:r>
              <w:t xml:space="preserve"> </w:t>
            </w:r>
            <w:r>
              <w:rPr>
                <w:rStyle w:val="VerbatimChar"/>
              </w:rPr>
              <w:t xml:space="preserve">CLUSTER_GEOM</w:t>
            </w:r>
            <w:r>
              <w:t xml:space="preserve"> </w:t>
            </w:r>
            <w:r>
              <w:t xml:space="preserve">so placement logic does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monitor runs on CPU, no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ms per frame is already inside budget; avoids hardware dependence (A-2)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production DMS would still need an infrared camera and a qualified evaluation set (backlog)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Safety-loop actuation lives in the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 exists; the manoeuvre must be demonstrable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 real vehicle the actuation moves to a motion controller; the trigger signal contract 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Databroker image consumed at tag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 at project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Closed: pinned to the 0.7.0 tag and digest in</w:t>
            </w:r>
            <w:r>
              <w:t xml:space="preserve"> </w:t>
            </w:r>
            <w:r>
              <w:rPr>
                <w:rStyle w:val="VerbatimChar"/>
              </w:rPr>
              <w:t xml:space="preserve">scripts/start-databroker.sh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SDK version not 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 at project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in sprint 2: 3.47.0 in</w:t>
            </w:r>
            <w:r>
              <w:t xml:space="preserve"> </w:t>
            </w:r>
            <w:r>
              <w:rPr>
                <w:rStyle w:val="VerbatimChar"/>
              </w:rPr>
              <w:t xml:space="preserve">.fvmrc</w:t>
            </w:r>
            <w:r>
              <w:t xml:space="preserve">, floor 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, enforced by the</w:t>
            </w:r>
            <w:r>
              <w:t xml:space="preserve"> </w:t>
            </w:r>
            <w:r>
              <w:rPr>
                <w:rStyle w:val="VerbatimChar"/>
              </w:rPr>
              <w:t xml:space="preserve">toolchain-pin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authenticate with a signed token over TLS, not a client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KUKSA 0.7.0 cannot verify client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CS-3’s goal by a different mechanism; the requirement text or the broker changes later. See PULSE-SEC-001 section 5</w:t>
            </w:r>
          </w:p>
        </w:tc>
      </w:tr>
    </w:tbl>
    <w:bookmarkEnd w:id="58"/>
    <w:bookmarkStart w:id="59" w:name="verification-approach"/>
    <w:p>
      <w:pPr>
        <w:pStyle w:val="Heading1"/>
      </w:pPr>
      <w:r>
        <w:t xml:space="preserve">9. Verification approach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4356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contract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path in appendix A resolves in</w:t>
            </w:r>
            <w:r>
              <w:t xml:space="preserve"> </w:t>
            </w:r>
            <w:r>
              <w:rPr>
                <w:rStyle w:val="VerbatimChar"/>
              </w:rPr>
              <w:t xml:space="preserve">vss_agl.json</w:t>
            </w:r>
            <w:r>
              <w:t xml:space="preserve"> </w:t>
            </w:r>
            <w:r>
              <w:t xml:space="preserve">with the expected type and unit; overlay paths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2, then every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range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 and driver-monitor outputs stay inside catalogue ranges over a full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up, tree served, a subscribe stream receives updates within one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2, then every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HMI launches, connects, and renders a known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HMI purity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 or DBC token in HMI source (FR-11)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memory, artefact size under the replayed cycle, both HMIs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Clean-machine bring-up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README and ONBOARDING.md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2026-08-18; repeated at handover</w:t>
            </w:r>
          </w:p>
        </w:tc>
      </w:tr>
    </w:tbl>
    <w:bookmarkEnd w:id="59"/>
    <w:bookmarkStart w:id="63" w:name="appendix-a.-signal-contract"/>
    <w:p>
      <w:pPr>
        <w:pStyle w:val="Heading1"/>
      </w:pPr>
      <w:r>
        <w:t xml:space="preserve">Appendix A. Signal contract</w:t>
      </w:r>
    </w:p>
    <w:bookmarkStart w:id="60" w:name="a.1-signals-consumed-by-the-hmis"/>
    <w:p>
      <w:pPr>
        <w:pStyle w:val="Heading2"/>
      </w:pPr>
      <w:r>
        <w:t xml:space="preserve">A.1 Signals consumed by the HMIs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792"/>
        <w:gridCol w:w="633"/>
        <w:gridCol w:w="110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VSS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Vehicle.Powertrain.CombustionEngine.Speed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band, shift ghost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Vehicle.Powertrain.Transmission.SelectedGear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= R, 0 = N, 126 = P, 127 =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Vehicle.Powertrain.Transmission.PerformanceMode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 uppercase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Vehicle.Powertrain.FuelSystem.RelativeLevel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Vehicle.Powertrain.FuelSystem.Range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Vehicle.TraveledDistance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Vehicle.Chassis.Axle.Row1.Wheel.Left.Tire.Pressure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Vehicle.Chassis.Axle.Row1.Wheel.Right.Tire.Pressure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Vehicle.Chassis.Axle.Row2.Wheel.Left.Tire.Pressure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Vehicle.Chassis.Axle.Row2.Wheel.Right.Tire.Pressure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Vehicle.Body.Lights.Hazard.IsSignaling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during the manoeuvre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Vehicle.Driver.HeartRate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Vehicle.Driver.AttentiveProbability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Vehicle.Driver.FatigueLevel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Vehicle.Driver.DistractionLevel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Vehicle.Driver.IsEyesOnRoad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Vehicle.Driver.Monitoring.IsActive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Vehicle.Driver.Monitoring.AlertState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Driver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NONE, DROWSY, DISTRACTED, NO_FACE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Vehicle.Driver.Monitoring.InterventionState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NONE, COUNTDOWN, BRAKING,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Vehicle.Driver.Monitoring.InterventionCountdown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0 when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Vehicle.Motorsport.LapNumber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Vehicle.Motorsport.LapTime.Current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Vehicle.Motorsport.LapTime.Best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0 until a lap completes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Vehicle.Motorsport.DRS.IsAvailable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Vehicle.Motorsport.DRS.IsActive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Vehicle.Motorsport.ERS.Level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max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Vehicle.Motorsport.ERS.State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Overlay; DEPLOY, HARVEST, IDLE</w:t>
            </w:r>
          </w:p>
        </w:tc>
      </w:tr>
    </w:tbl>
    <w:bookmarkEnd w:id="60"/>
    <w:bookmarkStart w:id="61" w:name="a.2-overlay-files"/>
    <w:p>
      <w:pPr>
        <w:pStyle w:val="Heading2"/>
      </w:pPr>
      <w:r>
        <w:t xml:space="preserve">A.2 Overlay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80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vss/agl_vss_overlay.vspec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AGL’s cockpit signals: steering-wheel switches, infotainment, navigation, acceleration, angular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 meta-agl-demo,</w:t>
            </w:r>
            <w:r>
              <w:t xml:space="preserve"> </w:t>
            </w:r>
            <w:r>
              <w:rPr>
                <w:rStyle w:val="VerbatimChar"/>
              </w:rPr>
              <w:t xml:space="preserve">vss-agl_6.0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vss/pulse_vss_overlay.vspec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Vehicle.Motorsport</w:t>
            </w:r>
            <w:r>
              <w:t xml:space="preserve"> </w:t>
            </w:r>
            <w:r>
              <w:t xml:space="preserve">branch: lap number, lap times, DRS, 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vss/dms_vss_overlay.vspec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Vehicle.Driver.Monitoring</w:t>
            </w:r>
            <w:r>
              <w:t xml:space="preserve"> </w:t>
            </w:r>
            <w:r>
              <w:t xml:space="preserve">branch: active, alert state, intervention state,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vss/pulse_can_overlay.vspec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mappings only, no new paths: fuel from AGL’s</w:t>
            </w:r>
            <w:r>
              <w:t xml:space="preserve"> </w:t>
            </w:r>
            <w:r>
              <w:rPr>
                <w:rStyle w:val="VerbatimChar"/>
              </w:rPr>
              <w:t xml:space="preserve">PT_FuelLevelPct</w:t>
            </w:r>
            <w:r>
              <w:t xml:space="preserve">; ERS, DRS, tyre pressures and driver monitoring from</w:t>
            </w:r>
            <w:r>
              <w:t xml:space="preserve"> </w:t>
            </w:r>
            <w:r>
              <w:rPr>
                <w:rStyle w:val="VerbatimChar"/>
              </w:rPr>
              <w:t xml:space="preserve">vss/dbc/pulse.dbc</w:t>
            </w:r>
            <w:r>
              <w:t xml:space="preserve"> </w:t>
            </w:r>
            <w:r>
              <w:t xml:space="preserve">(frames 0x210, 0x220, 0x300, 0x400, clear of every AGL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</w:tbl>
    <w:bookmarkEnd w:id="61"/>
    <w:bookmarkStart w:id="62" w:name="a.3-regeneration"/>
    <w:p>
      <w:pPr>
        <w:pStyle w:val="Heading2"/>
      </w:pPr>
      <w:r>
        <w:t xml:space="preserve">A.3 Regeneration</w:t>
      </w:r>
    </w:p>
    <w:p>
      <w:pPr>
        <w:pStyle w:val="FirstParagraph"/>
      </w:pPr>
      <w:r>
        <w:t xml:space="preserve">The compiled tree is regenerated from the pinned VSS 6.0 specification and the three overlays by the command in the README section</w:t>
      </w:r>
      <w:r>
        <w:t xml:space="preserve"> </w:t>
      </w:r>
      <w:r>
        <w:t xml:space="preserve">“</w:t>
      </w:r>
      <w:r>
        <w:t xml:space="preserve">Regenerate the VSS JSON</w:t>
      </w:r>
      <w:r>
        <w:t xml:space="preserve">”</w:t>
      </w:r>
      <w:r>
        <w:t xml:space="preserve">. Regeneration has been confirmed byte-identical (FR-3).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31" Target="media/rId31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Instrument Cluster</dc:title>
  <dc:creator>Ahmed Abdelghany</dc:creator>
  <cp:keywords/>
  <dcterms:created xsi:type="dcterms:W3CDTF">2026-10-02T09:02:08Z</dcterms:created>
  <dcterms:modified xsi:type="dcterms:W3CDTF">2026-10-02T09:02:08Z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subtitle">
    <vt:lpwstr>System Architecture Description</vt:lpwstr>
  </property>
</Properties>
</file>