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4F" w:rsidRDefault="00821ABB" w:rsidP="00821ABB">
      <w:pPr>
        <w:pStyle w:val="a3"/>
        <w:rPr>
          <w:rFonts w:hint="eastAsia"/>
        </w:rPr>
      </w:pPr>
      <w:r>
        <w:t>A</w:t>
      </w:r>
      <w:r>
        <w:rPr>
          <w:rFonts w:hint="eastAsia"/>
        </w:rPr>
        <w:t xml:space="preserve"> Paper Review about </w:t>
      </w:r>
      <w:r>
        <w:t>“Ensemble</w:t>
      </w:r>
      <w:r>
        <w:rPr>
          <w:rFonts w:hint="eastAsia"/>
        </w:rPr>
        <w:t xml:space="preserve"> </w:t>
      </w:r>
      <w:r>
        <w:t>Controllability</w:t>
      </w:r>
      <w:r>
        <w:rPr>
          <w:rFonts w:hint="eastAsia"/>
        </w:rPr>
        <w:t xml:space="preserve"> of the Bloch Equations</w:t>
      </w:r>
      <w:r>
        <w:t>”</w:t>
      </w:r>
      <w:r>
        <w:rPr>
          <w:rFonts w:hint="eastAsia"/>
        </w:rPr>
        <w:t xml:space="preserve"> by Jr-Shin Li and </w:t>
      </w:r>
      <w:proofErr w:type="spellStart"/>
      <w:r>
        <w:rPr>
          <w:rFonts w:hint="eastAsia"/>
        </w:rPr>
        <w:t>Navin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Khaneja</w:t>
      </w:r>
      <w:proofErr w:type="spellEnd"/>
    </w:p>
    <w:p w:rsidR="00EE7521" w:rsidRDefault="00EE7521" w:rsidP="00EE7521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Yu Huang</w:t>
      </w:r>
    </w:p>
    <w:p w:rsidR="00EE7521" w:rsidRDefault="00EE7521" w:rsidP="00EE7521">
      <w:pPr>
        <w:pStyle w:val="a5"/>
        <w:numPr>
          <w:ilvl w:val="0"/>
          <w:numId w:val="3"/>
        </w:numPr>
        <w:ind w:firstLineChars="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Goal of this paper</w:t>
      </w:r>
    </w:p>
    <w:p w:rsidR="00EE7521" w:rsidRDefault="00EE7521" w:rsidP="00EE752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goal of this paper is to make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better explanation of the key aspects of the dynamics that make compensating dispersion which was accomplished by the use of composite</w:t>
      </w:r>
      <w:r w:rsidR="009C74A5">
        <w:rPr>
          <w:rFonts w:ascii="Times New Roman" w:hAnsi="Times New Roman" w:cs="Times New Roman" w:hint="eastAsia"/>
          <w:sz w:val="24"/>
          <w:szCs w:val="24"/>
        </w:rPr>
        <w:t xml:space="preserve"> pulses possible. </w:t>
      </w:r>
      <w:r w:rsidR="009C74A5">
        <w:rPr>
          <w:rFonts w:ascii="Times New Roman" w:hAnsi="Times New Roman" w:cs="Times New Roman"/>
          <w:sz w:val="24"/>
          <w:szCs w:val="24"/>
        </w:rPr>
        <w:t>S</w:t>
      </w:r>
      <w:r w:rsidR="009C74A5">
        <w:rPr>
          <w:rFonts w:ascii="Times New Roman" w:hAnsi="Times New Roman" w:cs="Times New Roman" w:hint="eastAsia"/>
          <w:sz w:val="24"/>
          <w:szCs w:val="24"/>
        </w:rPr>
        <w:t xml:space="preserve">pecifically, the authors of the paper wanted to start with Bloch Equations and then analyze it under a specific circumstances and finally make a better illustration of what kind of dispersion can be corrected and what </w:t>
      </w:r>
      <w:r w:rsidR="009C74A5">
        <w:rPr>
          <w:rFonts w:ascii="Times New Roman" w:hAnsi="Times New Roman" w:cs="Times New Roman"/>
          <w:sz w:val="24"/>
          <w:szCs w:val="24"/>
        </w:rPr>
        <w:t>cannot</w:t>
      </w:r>
      <w:r w:rsidR="009C74A5">
        <w:rPr>
          <w:rFonts w:ascii="Times New Roman" w:hAnsi="Times New Roman" w:cs="Times New Roman" w:hint="eastAsia"/>
          <w:sz w:val="24"/>
          <w:szCs w:val="24"/>
        </w:rPr>
        <w:t>.</w:t>
      </w:r>
    </w:p>
    <w:p w:rsidR="009C74A5" w:rsidRDefault="009C74A5" w:rsidP="009C74A5">
      <w:pPr>
        <w:pStyle w:val="a5"/>
        <w:numPr>
          <w:ilvl w:val="0"/>
          <w:numId w:val="3"/>
        </w:numPr>
        <w:ind w:firstLineChars="0"/>
        <w:jc w:val="center"/>
        <w:rPr>
          <w:rFonts w:hint="eastAsia"/>
          <w:b/>
          <w:sz w:val="30"/>
          <w:szCs w:val="30"/>
        </w:rPr>
      </w:pPr>
      <w:r w:rsidRPr="009C74A5">
        <w:rPr>
          <w:rFonts w:hint="eastAsia"/>
          <w:b/>
          <w:sz w:val="30"/>
          <w:szCs w:val="30"/>
        </w:rPr>
        <w:t>Assumptions</w:t>
      </w:r>
    </w:p>
    <w:p w:rsidR="00BB6508" w:rsidRDefault="009C74A5" w:rsidP="00BB6508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 for different examples, the authors proposed different </w:t>
      </w:r>
      <w:r w:rsidR="00BB6508">
        <w:rPr>
          <w:rFonts w:ascii="Times New Roman" w:hAnsi="Times New Roman" w:cs="Times New Roman" w:hint="eastAsia"/>
          <w:sz w:val="24"/>
          <w:szCs w:val="24"/>
        </w:rPr>
        <w:t xml:space="preserve">assumptions from simple conditions to more complicated conditions so as to analyze the </w:t>
      </w:r>
      <w:r w:rsidR="00BB6508">
        <w:rPr>
          <w:rFonts w:ascii="Times New Roman" w:hAnsi="Times New Roman" w:cs="Times New Roman"/>
          <w:sz w:val="24"/>
          <w:szCs w:val="24"/>
        </w:rPr>
        <w:t>controllability</w:t>
      </w:r>
      <w:r w:rsidR="00BB6508">
        <w:rPr>
          <w:rFonts w:ascii="Times New Roman" w:hAnsi="Times New Roman" w:cs="Times New Roman" w:hint="eastAsia"/>
          <w:sz w:val="24"/>
          <w:szCs w:val="24"/>
        </w:rPr>
        <w:t xml:space="preserve"> under different circumstances. </w:t>
      </w:r>
      <w:r w:rsidR="00BB6508">
        <w:rPr>
          <w:rFonts w:ascii="Times New Roman" w:hAnsi="Times New Roman" w:cs="Times New Roman"/>
          <w:sz w:val="24"/>
          <w:szCs w:val="24"/>
        </w:rPr>
        <w:t>T</w:t>
      </w:r>
      <w:r w:rsidR="00BB6508">
        <w:rPr>
          <w:rFonts w:ascii="Times New Roman" w:hAnsi="Times New Roman" w:cs="Times New Roman" w:hint="eastAsia"/>
          <w:sz w:val="24"/>
          <w:szCs w:val="24"/>
        </w:rPr>
        <w:t xml:space="preserve">he authors first studied the Bloch Equations in a rotating frame with only RF inhomogeneity and no </w:t>
      </w:r>
      <w:proofErr w:type="spellStart"/>
      <w:r w:rsidR="00BB6508">
        <w:rPr>
          <w:rFonts w:ascii="Times New Roman" w:hAnsi="Times New Roman" w:cs="Times New Roman" w:hint="eastAsia"/>
          <w:sz w:val="24"/>
          <w:szCs w:val="24"/>
        </w:rPr>
        <w:t>Larmor</w:t>
      </w:r>
      <w:proofErr w:type="spellEnd"/>
      <w:r w:rsidR="00BB6508">
        <w:rPr>
          <w:rFonts w:ascii="Times New Roman" w:hAnsi="Times New Roman" w:cs="Times New Roman" w:hint="eastAsia"/>
          <w:sz w:val="24"/>
          <w:szCs w:val="24"/>
        </w:rPr>
        <w:t xml:space="preserve"> dispersion. Given the main idea, the authors considered 5 examples in the following </w:t>
      </w:r>
      <w:r w:rsidR="00BB6508">
        <w:rPr>
          <w:rFonts w:ascii="Times New Roman" w:hAnsi="Times New Roman" w:cs="Times New Roman"/>
          <w:sz w:val="24"/>
          <w:szCs w:val="24"/>
        </w:rPr>
        <w:t>especially</w:t>
      </w:r>
      <w:r w:rsidR="00BB6508">
        <w:rPr>
          <w:rFonts w:ascii="Times New Roman" w:hAnsi="Times New Roman" w:cs="Times New Roman" w:hint="eastAsia"/>
          <w:sz w:val="24"/>
          <w:szCs w:val="24"/>
        </w:rPr>
        <w:t xml:space="preserve"> analyzed the controllability of each system and pointed out that phase dispersions cannot be compensated. </w:t>
      </w:r>
      <w:r w:rsidR="00BB6508">
        <w:rPr>
          <w:rFonts w:ascii="Times New Roman" w:hAnsi="Times New Roman" w:cs="Times New Roman"/>
          <w:sz w:val="24"/>
          <w:szCs w:val="24"/>
        </w:rPr>
        <w:t>A</w:t>
      </w:r>
      <w:r w:rsidR="00BB6508">
        <w:rPr>
          <w:rFonts w:ascii="Times New Roman" w:hAnsi="Times New Roman" w:cs="Times New Roman" w:hint="eastAsia"/>
          <w:sz w:val="24"/>
          <w:szCs w:val="24"/>
        </w:rPr>
        <w:t xml:space="preserve">nd finally came to the conclusion that noncommutativity is a key factor that </w:t>
      </w:r>
      <w:r w:rsidR="00BB6508">
        <w:rPr>
          <w:rFonts w:ascii="Times New Roman" w:hAnsi="Times New Roman" w:cs="Times New Roman" w:hint="eastAsia"/>
          <w:sz w:val="24"/>
          <w:szCs w:val="24"/>
        </w:rPr>
        <w:lastRenderedPageBreak/>
        <w:t>leads to the possibility of compensation control.</w:t>
      </w:r>
    </w:p>
    <w:p w:rsidR="00BB6508" w:rsidRDefault="00A926C4" w:rsidP="00A926C4">
      <w:pPr>
        <w:pStyle w:val="a5"/>
        <w:numPr>
          <w:ilvl w:val="0"/>
          <w:numId w:val="3"/>
        </w:numPr>
        <w:ind w:firstLineChars="0"/>
        <w:jc w:val="center"/>
        <w:rPr>
          <w:rFonts w:asciiTheme="majorHAnsi" w:hAnsiTheme="majorHAnsi" w:cs="Times New Roman" w:hint="eastAsia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L</w:t>
      </w:r>
      <w:r>
        <w:rPr>
          <w:rFonts w:asciiTheme="majorHAnsi" w:hAnsiTheme="majorHAnsi" w:cs="Times New Roman" w:hint="eastAsia"/>
          <w:b/>
          <w:sz w:val="32"/>
          <w:szCs w:val="32"/>
        </w:rPr>
        <w:t>imitations</w:t>
      </w:r>
    </w:p>
    <w:p w:rsidR="00A926C4" w:rsidRDefault="00A926C4" w:rsidP="004A0336">
      <w:pPr>
        <w:pStyle w:val="a5"/>
        <w:ind w:left="72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paper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make explicit the role of noncommutativity as a key aspect pf the dynamics that makes the design of a compensating control possible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[1].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lso, this paper introduced the method of polynomial approximations to help the design of pulse </w:t>
      </w:r>
      <w:r>
        <w:rPr>
          <w:rFonts w:ascii="Times New Roman" w:hAnsi="Times New Roman" w:cs="Times New Roman"/>
          <w:sz w:val="24"/>
          <w:szCs w:val="24"/>
        </w:rPr>
        <w:t>sequence</w:t>
      </w:r>
      <w:r>
        <w:rPr>
          <w:rFonts w:ascii="Times New Roman" w:hAnsi="Times New Roman" w:cs="Times New Roman" w:hint="eastAsia"/>
          <w:sz w:val="24"/>
          <w:szCs w:val="24"/>
        </w:rPr>
        <w:t xml:space="preserve">s of </w:t>
      </w:r>
      <w:r>
        <w:rPr>
          <w:rFonts w:ascii="Times New Roman" w:hAnsi="Times New Roman" w:cs="Times New Roman"/>
          <w:sz w:val="24"/>
          <w:szCs w:val="24"/>
        </w:rPr>
        <w:t>compensation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control for inhomogeneous </w:t>
      </w:r>
      <w:r>
        <w:rPr>
          <w:rFonts w:ascii="Times New Roman" w:hAnsi="Times New Roman" w:cs="Times New Roman"/>
          <w:sz w:val="24"/>
          <w:szCs w:val="24"/>
        </w:rPr>
        <w:t>ensembles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 the authors noticed</w:t>
      </w:r>
      <w:r w:rsidR="00CF677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this paper did not propose the most effective schemes for compensation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F6777">
        <w:rPr>
          <w:rFonts w:ascii="Times New Roman" w:hAnsi="Times New Roman" w:cs="Times New Roman"/>
          <w:sz w:val="24"/>
          <w:szCs w:val="24"/>
        </w:rPr>
        <w:t>B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esides, this paper was based on </w:t>
      </w:r>
      <w:r w:rsidR="00CF6777">
        <w:rPr>
          <w:rFonts w:ascii="Times New Roman" w:hAnsi="Times New Roman" w:cs="Times New Roman"/>
          <w:sz w:val="24"/>
          <w:szCs w:val="24"/>
        </w:rPr>
        <w:t>mathematical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 proof and offered no experimental data to prove the conclusion. </w:t>
      </w:r>
      <w:r w:rsidR="00CF6777">
        <w:rPr>
          <w:rFonts w:ascii="Times New Roman" w:hAnsi="Times New Roman" w:cs="Times New Roman"/>
          <w:sz w:val="24"/>
          <w:szCs w:val="24"/>
        </w:rPr>
        <w:t>F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or future work, </w:t>
      </w:r>
      <w:r w:rsidR="00CF6777">
        <w:rPr>
          <w:rFonts w:ascii="Times New Roman" w:hAnsi="Times New Roman" w:cs="Times New Roman"/>
          <w:sz w:val="24"/>
          <w:szCs w:val="24"/>
        </w:rPr>
        <w:t>I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 think the </w:t>
      </w:r>
      <w:r w:rsidR="00CF6777">
        <w:rPr>
          <w:rFonts w:ascii="Times New Roman" w:hAnsi="Times New Roman" w:cs="Times New Roman"/>
          <w:sz w:val="24"/>
          <w:szCs w:val="24"/>
        </w:rPr>
        <w:t>empirical</w:t>
      </w:r>
      <w:r w:rsidR="00CF6777">
        <w:rPr>
          <w:rFonts w:ascii="Times New Roman" w:hAnsi="Times New Roman" w:cs="Times New Roman" w:hint="eastAsia"/>
          <w:sz w:val="24"/>
          <w:szCs w:val="24"/>
        </w:rPr>
        <w:t xml:space="preserve"> analysis is need like apply them to a certain circumstance and observe whether the conclusion can predict the result.</w:t>
      </w:r>
    </w:p>
    <w:p w:rsidR="00CF6777" w:rsidRDefault="00CF6777" w:rsidP="00A926C4">
      <w:pPr>
        <w:pStyle w:val="a5"/>
        <w:ind w:left="720" w:firstLine="480"/>
        <w:rPr>
          <w:rFonts w:ascii="Times New Roman" w:hAnsi="Times New Roman" w:cs="Times New Roman" w:hint="eastAsia"/>
          <w:sz w:val="24"/>
          <w:szCs w:val="24"/>
        </w:rPr>
      </w:pPr>
    </w:p>
    <w:p w:rsidR="004A0336" w:rsidRDefault="004A0336" w:rsidP="00A926C4">
      <w:pPr>
        <w:pStyle w:val="a5"/>
        <w:ind w:left="720" w:firstLine="480"/>
        <w:rPr>
          <w:rFonts w:ascii="Times New Roman" w:hAnsi="Times New Roman" w:cs="Times New Roman" w:hint="eastAsia"/>
          <w:sz w:val="24"/>
          <w:szCs w:val="24"/>
        </w:rPr>
      </w:pPr>
    </w:p>
    <w:p w:rsidR="004A0336" w:rsidRDefault="004A0336" w:rsidP="004A0336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[1]</w:t>
      </w:r>
      <w:r w:rsidRPr="004A0336">
        <w:rPr>
          <w:rFonts w:ascii="CMR12" w:hAnsi="CMR12" w:cs="CMR12"/>
          <w:kern w:val="0"/>
          <w:sz w:val="24"/>
          <w:szCs w:val="24"/>
        </w:rPr>
        <w:t xml:space="preserve"> </w:t>
      </w:r>
      <w:r w:rsidR="00DD5EC3">
        <w:rPr>
          <w:rFonts w:ascii="CMR12" w:hAnsi="CMR12" w:cs="CMR12"/>
          <w:kern w:val="0"/>
          <w:sz w:val="24"/>
          <w:szCs w:val="24"/>
        </w:rPr>
        <w:t xml:space="preserve">J.-S. Li and N. </w:t>
      </w:r>
      <w:proofErr w:type="spellStart"/>
      <w:r w:rsidR="00DD5EC3">
        <w:rPr>
          <w:rFonts w:ascii="CMR12" w:hAnsi="CMR12" w:cs="CMR12"/>
          <w:kern w:val="0"/>
          <w:sz w:val="24"/>
          <w:szCs w:val="24"/>
        </w:rPr>
        <w:t>Khaneja</w:t>
      </w:r>
      <w:proofErr w:type="spellEnd"/>
      <w:r w:rsidR="00DD5EC3">
        <w:rPr>
          <w:rFonts w:ascii="CMR12" w:hAnsi="CMR12" w:cs="CMR12"/>
          <w:kern w:val="0"/>
          <w:sz w:val="24"/>
          <w:szCs w:val="24"/>
        </w:rPr>
        <w:t>, “</w:t>
      </w:r>
      <w:r>
        <w:rPr>
          <w:rFonts w:ascii="CMR12" w:hAnsi="CMR12" w:cs="CMR12"/>
          <w:kern w:val="0"/>
          <w:sz w:val="24"/>
          <w:szCs w:val="24"/>
        </w:rPr>
        <w:t xml:space="preserve">Ensemble controllability of the </w:t>
      </w:r>
      <w:proofErr w:type="spellStart"/>
      <w:r>
        <w:rPr>
          <w:rFonts w:ascii="CMR12" w:hAnsi="CMR12" w:cs="CMR12"/>
          <w:kern w:val="0"/>
          <w:sz w:val="24"/>
          <w:szCs w:val="24"/>
        </w:rPr>
        <w:t>bloch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equations,"</w:t>
      </w:r>
    </w:p>
    <w:p w:rsidR="004A0336" w:rsidRPr="00DD5EC3" w:rsidRDefault="004A0336" w:rsidP="00DD5EC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proofErr w:type="gramStart"/>
      <w:r>
        <w:rPr>
          <w:rFonts w:ascii="CMR12" w:hAnsi="CMR12" w:cs="CMR12"/>
          <w:kern w:val="0"/>
          <w:sz w:val="24"/>
          <w:szCs w:val="24"/>
        </w:rPr>
        <w:t>in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TI12" w:hAnsi="CMTI12" w:cs="CMTI12"/>
          <w:kern w:val="0"/>
          <w:sz w:val="24"/>
          <w:szCs w:val="24"/>
        </w:rPr>
        <w:t>IEEE Conf. Dec. Cont.</w:t>
      </w:r>
      <w:r>
        <w:rPr>
          <w:rFonts w:ascii="CMR12" w:hAnsi="CMR12" w:cs="CMR12"/>
          <w:kern w:val="0"/>
          <w:sz w:val="24"/>
          <w:szCs w:val="24"/>
        </w:rPr>
        <w:t>, San</w:t>
      </w:r>
      <w:r w:rsidR="00DD5EC3">
        <w:rPr>
          <w:rFonts w:ascii="CMR12" w:hAnsi="CMR12" w:cs="CMR12"/>
          <w:kern w:val="0"/>
          <w:sz w:val="24"/>
          <w:szCs w:val="24"/>
        </w:rPr>
        <w:t xml:space="preserve"> Diego, CA, Dec. 2006, pp. 2483</w:t>
      </w:r>
      <w:r w:rsidR="00DD5EC3">
        <w:rPr>
          <w:rFonts w:ascii="CMR12" w:hAnsi="CMR12" w:cs="CMR12" w:hint="eastAsia"/>
          <w:kern w:val="0"/>
          <w:sz w:val="24"/>
          <w:szCs w:val="24"/>
        </w:rPr>
        <w:t>~</w:t>
      </w:r>
      <w:r w:rsidRPr="00DD5EC3">
        <w:rPr>
          <w:rFonts w:ascii="CMR12" w:hAnsi="CMR12" w:cs="CMR12"/>
          <w:kern w:val="0"/>
          <w:sz w:val="24"/>
          <w:szCs w:val="24"/>
        </w:rPr>
        <w:t>2487.</w:t>
      </w:r>
      <w:bookmarkStart w:id="0" w:name="_GoBack"/>
      <w:bookmarkEnd w:id="0"/>
    </w:p>
    <w:sectPr w:rsidR="004A0336" w:rsidRPr="00DD5EC3" w:rsidSect="00821ABB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F8C"/>
    <w:multiLevelType w:val="hybridMultilevel"/>
    <w:tmpl w:val="C958C172"/>
    <w:lvl w:ilvl="0" w:tplc="368E392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C11296"/>
    <w:multiLevelType w:val="hybridMultilevel"/>
    <w:tmpl w:val="21D2EC40"/>
    <w:lvl w:ilvl="0" w:tplc="A0E4EE5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4D3158"/>
    <w:multiLevelType w:val="hybridMultilevel"/>
    <w:tmpl w:val="2A6E1BFA"/>
    <w:lvl w:ilvl="0" w:tplc="A922EBE2">
      <w:start w:val="1"/>
      <w:numFmt w:val="upperRoman"/>
      <w:lvlText w:val="%1."/>
      <w:lvlJc w:val="left"/>
      <w:pPr>
        <w:ind w:left="720" w:hanging="720"/>
      </w:pPr>
      <w:rPr>
        <w:rFonts w:asciiTheme="majorHAnsi" w:hAnsiTheme="majorHAnsi" w:hint="default"/>
        <w:b/>
        <w:i w:val="0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B"/>
    <w:rsid w:val="001950DA"/>
    <w:rsid w:val="004A0336"/>
    <w:rsid w:val="00716111"/>
    <w:rsid w:val="00821ABB"/>
    <w:rsid w:val="009C74A5"/>
    <w:rsid w:val="00A926C4"/>
    <w:rsid w:val="00BB6508"/>
    <w:rsid w:val="00CF6777"/>
    <w:rsid w:val="00DD5EC3"/>
    <w:rsid w:val="00E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1A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1A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21A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21A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E75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1A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1A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21A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21A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E75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301</Words>
  <Characters>1719</Characters>
  <Application>Microsoft Office Word</Application>
  <DocSecurity>0</DocSecurity>
  <Lines>14</Lines>
  <Paragraphs>4</Paragraphs>
  <ScaleCrop>false</ScaleCrop>
  <Company>微软中国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2015-07-30T00:52:00Z</dcterms:created>
  <dcterms:modified xsi:type="dcterms:W3CDTF">2015-07-30T01:51:00Z</dcterms:modified>
</cp:coreProperties>
</file>