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ANNOTATION GUIDELINES</w:t>
      </w:r>
    </w:p>
    <w:p>
      <w:pPr>
        <w:jc w:val="center"/>
      </w:pPr>
      <w:r>
        <w:rPr>
          <w:b/>
          <w:sz w:val="26"/>
        </w:rPr>
        <w:t>Equality Narratives in News Coverage of Income and Wealth Inequality</w:t>
      </w:r>
    </w:p>
    <w:p/>
    <w:p>
      <w:pPr>
        <w:pStyle w:val="Heading1"/>
      </w:pPr>
      <w:r>
        <w:rPr>
          <w:color w:val="1A237E"/>
        </w:rPr>
        <w:t>1. Purpose</w:t>
      </w:r>
    </w:p>
    <w:p>
      <w:r>
        <w:t>The goal of this annotation task is to classify news text segments according to the normative stance they express or imply regarding economic inequality. A stance is defined as a verbal description that conveys approval, disapproval, or indifference toward inequality and the mechanisms that produce or sustain it (Eliaz &amp; Spiegler, 2020; Shiller, 2017).</w:t>
      </w:r>
    </w:p>
    <w:p>
      <w:r>
        <w:t>Each text receives exactly one label from three mutually exclusive categories: PRO_EQUALITY, ANTI_EQUALITY, or NEUTRAL. The NEUTRAL category is a residual ("fallout") class for texts that do not express a clear normative position.</w:t>
      </w:r>
    </w:p>
    <w:p/>
    <w:p>
      <w:pPr>
        <w:pStyle w:val="Heading1"/>
      </w:pPr>
      <w:r>
        <w:rPr>
          <w:color w:val="1A237E"/>
        </w:rPr>
        <w:t>2. Category Definitions</w:t>
      </w:r>
    </w:p>
    <w:p>
      <w:pPr>
        <w:pStyle w:val="Heading2"/>
      </w:pPr>
      <w:r>
        <w:rPr>
          <w:color w:val="283C93"/>
        </w:rPr>
        <w:t>2.1  PRO_EQUALITY</w:t>
      </w:r>
    </w:p>
    <w:p>
      <w:r>
        <w:t>Definition: The text expresses or implies support for reducing economic inequality. This includes explicit advocacy as well as implicit framing that portrays inequality as problematic, correctable, or unjust.</w:t>
      </w:r>
    </w:p>
    <w:p>
      <w:pPr>
        <w:pStyle w:val="Heading3"/>
      </w:pPr>
      <w:r>
        <w:t>Implicit Causal Model</w:t>
      </w:r>
    </w:p>
    <w:p>
      <w:pPr>
        <w:pStyle w:val="ListBullet"/>
      </w:pPr>
      <w:r>
        <w:t>Inequality is produced by structural, institutional, or systemic forces.</w:t>
      </w:r>
    </w:p>
    <w:p>
      <w:pPr>
        <w:pStyle w:val="ListBullet"/>
      </w:pPr>
      <w:r>
        <w:t>Government policy (redistribution, regulation, social investment) can and should correct it.</w:t>
      </w:r>
    </w:p>
    <w:p>
      <w:pPr>
        <w:pStyle w:val="ListBullet"/>
      </w:pPr>
      <w:r>
        <w:t>Equal access to opportunities and resources is a legitimate goal.</w:t>
      </w:r>
    </w:p>
    <w:p>
      <w:pPr>
        <w:pStyle w:val="Heading3"/>
      </w:pPr>
      <w:r>
        <w:t>Typical Indicators</w:t>
      </w:r>
    </w:p>
    <w:p>
      <w:pPr>
        <w:pStyle w:val="ListBullet"/>
      </w:pPr>
      <w:r>
        <w:t>Calls for redistribution, progressive taxation, wealth taxes, or expanded social programs.</w:t>
      </w:r>
    </w:p>
    <w:p>
      <w:pPr>
        <w:pStyle w:val="ListBullet"/>
      </w:pPr>
      <w:r>
        <w:t>Language that frames inequality as a structural failure or political choice.</w:t>
      </w:r>
    </w:p>
    <w:p>
      <w:pPr>
        <w:pStyle w:val="ListBullet"/>
      </w:pPr>
      <w:r>
        <w:t>Advocacy for equal access to education, healthcare, housing, or basic services.</w:t>
      </w:r>
    </w:p>
    <w:p>
      <w:pPr>
        <w:pStyle w:val="ListBullet"/>
      </w:pPr>
      <w:r>
        <w:t>Critique of economic elites, monopoly power, or systemic barriers.</w:t>
      </w:r>
    </w:p>
    <w:p>
      <w:pPr>
        <w:pStyle w:val="ListBullet"/>
      </w:pPr>
      <w:r>
        <w:t>References to social mobility as a goal to be achieved through policy.</w:t>
      </w:r>
    </w:p>
    <w:p>
      <w:pPr>
        <w:pStyle w:val="Heading3"/>
      </w:pPr>
      <w:r>
        <w:t>Include when</w:t>
      </w:r>
    </w:p>
    <w:p>
      <w:pPr>
        <w:pStyle w:val="ListBullet"/>
      </w:pPr>
      <w:r>
        <w:t>Inequality is framed as correctable through collective or governmental action.</w:t>
      </w:r>
    </w:p>
    <w:p>
      <w:pPr>
        <w:pStyle w:val="ListBullet"/>
      </w:pPr>
      <w:r>
        <w:t>The text criticises inequality as unjust, even without proposing specific solutions.</w:t>
      </w:r>
    </w:p>
    <w:p>
      <w:pPr>
        <w:pStyle w:val="ListBullet"/>
      </w:pPr>
      <w:r>
        <w:t>Equal opportunities or outcomes are defended as normative goals.</w:t>
      </w:r>
    </w:p>
    <w:p>
      <w:pPr>
        <w:pStyle w:val="Heading3"/>
      </w:pPr>
      <w:r>
        <w:t>Exclude when</w:t>
      </w:r>
    </w:p>
    <w:p>
      <w:pPr>
        <w:pStyle w:val="ListBullet"/>
      </w:pPr>
      <w:r>
        <w:t>The text merely reports statistics without expressing a stance.</w:t>
      </w:r>
    </w:p>
    <w:p>
      <w:pPr>
        <w:pStyle w:val="ListBullet"/>
      </w:pPr>
      <w:r>
        <w:t>Inequality is mentioned only to explain it as natural or deserved.</w:t>
      </w:r>
    </w:p>
    <w:p>
      <w:pPr>
        <w:pStyle w:val="ListBullet"/>
      </w:pPr>
      <w:r>
        <w:t>Both pro- and anti-equality arguments are given equal weight (→ NEUTRAL).</w:t>
      </w:r>
    </w:p>
    <w:p/>
    <w:p>
      <w:pPr>
        <w:pStyle w:val="Heading2"/>
      </w:pPr>
      <w:r>
        <w:rPr>
          <w:color w:val="283C93"/>
        </w:rPr>
        <w:t>2.2  ANTI_EQUALITY</w:t>
      </w:r>
    </w:p>
    <w:p>
      <w:r>
        <w:t>Definition: The text expresses or implies that inequality is justified, natural, efficient, or beneficial. This includes both explicit defences of inequality and implicit framings that portray intervention as harmful or undeserved.</w:t>
      </w:r>
    </w:p>
    <w:p>
      <w:pPr>
        <w:pStyle w:val="Heading3"/>
      </w:pPr>
      <w:r>
        <w:t>Implicit Causal Model</w:t>
      </w:r>
    </w:p>
    <w:p>
      <w:pPr>
        <w:pStyle w:val="ListBullet"/>
      </w:pPr>
      <w:r>
        <w:t>Unequal outcomes reflect differences in individual merit, effort, or talent.</w:t>
      </w:r>
    </w:p>
    <w:p>
      <w:pPr>
        <w:pStyle w:val="ListBullet"/>
      </w:pPr>
      <w:r>
        <w:t>Markets produce efficient and fair distributions; intervention distorts them.</w:t>
      </w:r>
    </w:p>
    <w:p>
      <w:pPr>
        <w:pStyle w:val="ListBullet"/>
      </w:pPr>
      <w:r>
        <w:t>Inequality is an inevitable or even necessary feature of a well-functioning economy.</w:t>
      </w:r>
    </w:p>
    <w:p>
      <w:pPr>
        <w:pStyle w:val="Heading3"/>
      </w:pPr>
      <w:r>
        <w:t>Typical Indicators</w:t>
      </w:r>
    </w:p>
    <w:p>
      <w:pPr>
        <w:pStyle w:val="ListBullet"/>
      </w:pPr>
      <w:r>
        <w:t>Arguments that high earners deserve their rewards due to productivity or talent.</w:t>
      </w:r>
    </w:p>
    <w:p>
      <w:pPr>
        <w:pStyle w:val="ListBullet"/>
      </w:pPr>
      <w:r>
        <w:t>Opposition to redistribution on efficiency, freedom, or incentive grounds.</w:t>
      </w:r>
    </w:p>
    <w:p>
      <w:pPr>
        <w:pStyle w:val="ListBullet"/>
      </w:pPr>
      <w:r>
        <w:t>Claims that inequality is natural, inevitable, or economically beneficial.</w:t>
      </w:r>
    </w:p>
    <w:p>
      <w:pPr>
        <w:pStyle w:val="ListBullet"/>
      </w:pPr>
      <w:r>
        <w:t>Framing government intervention as harmful, wasteful, or unfair to high earners.</w:t>
      </w:r>
    </w:p>
    <w:p>
      <w:pPr>
        <w:pStyle w:val="ListBullet"/>
      </w:pPr>
      <w:r>
        <w:t>Meritocratic language: "those who work hard succeed"; "the market rewards skill".</w:t>
      </w:r>
    </w:p>
    <w:p>
      <w:pPr>
        <w:pStyle w:val="Heading3"/>
      </w:pPr>
      <w:r>
        <w:t>Include when</w:t>
      </w:r>
    </w:p>
    <w:p>
      <w:pPr>
        <w:pStyle w:val="ListBullet"/>
      </w:pPr>
      <w:r>
        <w:t>Inequality is defended as the legitimate result of free markets or individual choices.</w:t>
      </w:r>
    </w:p>
    <w:p>
      <w:pPr>
        <w:pStyle w:val="ListBullet"/>
      </w:pPr>
      <w:r>
        <w:t>Redistribution is explicitly or implicitly opposed.</w:t>
      </w:r>
    </w:p>
    <w:p>
      <w:pPr>
        <w:pStyle w:val="ListBullet"/>
      </w:pPr>
      <w:r>
        <w:t>The text normalises or celebrates wealth concentration.</w:t>
      </w:r>
    </w:p>
    <w:p>
      <w:pPr>
        <w:pStyle w:val="Heading3"/>
      </w:pPr>
      <w:r>
        <w:t>Exclude when</w:t>
      </w:r>
    </w:p>
    <w:p>
      <w:pPr>
        <w:pStyle w:val="ListBullet"/>
      </w:pPr>
      <w:r>
        <w:t>The text merely explains that some individuals succeed through effort without defending inequality.</w:t>
      </w:r>
    </w:p>
    <w:p>
      <w:pPr>
        <w:pStyle w:val="ListBullet"/>
      </w:pPr>
      <w:r>
        <w:t>The text critiques meritocracy or questions whether outcomes are truly deserved.</w:t>
      </w:r>
    </w:p>
    <w:p>
      <w:pPr>
        <w:pStyle w:val="ListBullet"/>
      </w:pPr>
      <w:r>
        <w:t>Both sides are presented without a clear normative lean (→ NEUTRAL).</w:t>
      </w:r>
    </w:p>
    <w:p/>
    <w:p>
      <w:pPr>
        <w:pStyle w:val="Heading2"/>
      </w:pPr>
      <w:r>
        <w:rPr>
          <w:color w:val="283C93"/>
        </w:rPr>
        <w:t>2.3  NEUTRAL  (residual / fallout category)</w:t>
      </w:r>
    </w:p>
    <w:p>
      <w:r>
        <w:t>Definition: The text does not express a clear normative stance toward inequality. NEUTRAL is a fallout category: assign it only when neither PRO_EQUALITY nor ANTI_EQUALITY applies.</w:t>
      </w:r>
    </w:p>
    <w:p>
      <w:pPr>
        <w:pStyle w:val="Heading3"/>
      </w:pPr>
      <w:r>
        <w:t>Typical cases</w:t>
      </w:r>
    </w:p>
    <w:p>
      <w:pPr>
        <w:pStyle w:val="ListBullet"/>
      </w:pPr>
      <w:r>
        <w:t>Factual reporting of statistics, rankings, or research findings without editorial framing.</w:t>
      </w:r>
    </w:p>
    <w:p>
      <w:pPr>
        <w:pStyle w:val="ListBullet"/>
      </w:pPr>
      <w:r>
        <w:t>Descriptive accounts of inequality trends without attributing cause or assigning blame.</w:t>
      </w:r>
    </w:p>
    <w:p>
      <w:pPr>
        <w:pStyle w:val="ListBullet"/>
      </w:pPr>
      <w:r>
        <w:t>Texts that present both pro- and anti-equality arguments with equal weight or explicitly balanced framing.</w:t>
      </w:r>
    </w:p>
    <w:p>
      <w:pPr>
        <w:pStyle w:val="ListBullet"/>
      </w:pPr>
      <w:r>
        <w:t>Coverage of unrelated topics where inequality is mentioned only tangentially.</w:t>
      </w:r>
    </w:p>
    <w:p>
      <w:pPr>
        <w:pStyle w:val="Heading3"/>
      </w:pPr>
      <w:r>
        <w:t>Include when</w:t>
      </w:r>
    </w:p>
    <w:p>
      <w:pPr>
        <w:pStyle w:val="ListBullet"/>
      </w:pPr>
      <w:r>
        <w:t>The text is purely descriptive (who, what, where, when) without normative framing.</w:t>
      </w:r>
    </w:p>
    <w:p>
      <w:pPr>
        <w:pStyle w:val="ListBullet"/>
      </w:pPr>
      <w:r>
        <w:t>No causal mechanism linking inequality to policy, merit, or structural factors is implied.</w:t>
      </w:r>
    </w:p>
    <w:p>
      <w:pPr>
        <w:pStyle w:val="Heading3"/>
      </w:pPr>
      <w:r>
        <w:t>Exclude when</w:t>
      </w:r>
    </w:p>
    <w:p>
      <w:pPr>
        <w:pStyle w:val="ListBullet"/>
      </w:pPr>
      <w:r>
        <w:t>Any clear normative framing is present, even if subtle — lean toward PRO or ANTI.</w:t>
      </w:r>
    </w:p>
    <w:p>
      <w:pPr>
        <w:pStyle w:val="ListBullet"/>
      </w:pPr>
      <w:r>
        <w:t>The text is short but expresses an unmistakable position.</w:t>
      </w:r>
    </w:p>
    <w:p>
      <w:r>
        <w:rPr>
          <w:i/>
          <w:color w:val="555555"/>
        </w:rPr>
        <w:t>Important: NEUTRAL should not be used as a default for ambiguous texts. If a text expresses even a mild normative lean, assign PRO_EQUALITY or ANTI_EQUALITY. Reserve NEUTRAL for genuinely stance-free content.</w:t>
      </w:r>
    </w:p>
    <w:p/>
    <w:p>
      <w:pPr>
        <w:pStyle w:val="Heading1"/>
      </w:pPr>
      <w:r>
        <w:rPr>
          <w:color w:val="1A237E"/>
        </w:rPr>
        <w:t>3. Decision Rules</w:t>
      </w:r>
    </w:p>
    <w:p>
      <w:r>
        <w:t>Apply these rules in order when a text is ambiguous:</w:t>
      </w:r>
    </w:p>
    <w:p>
      <w:r>
        <w:rPr>
          <w:b/>
        </w:rPr>
        <w:t xml:space="preserve">Rule 1 — Dominant frame wins. </w:t>
      </w:r>
      <w:r>
        <w:t>If a text contains both pro- and anti-equality elements, assign the label that corresponds to the dominant or concluding frame. Headlines, opening sentences, and closing arguments carry more weight than passing mentions.</w:t>
      </w:r>
    </w:p>
    <w:p>
      <w:r>
        <w:rPr>
          <w:b/>
        </w:rPr>
        <w:t xml:space="preserve">Rule 2 — Implicit beats explicit absence. </w:t>
      </w:r>
      <w:r>
        <w:t>A text that implicitly legitimises inequality (e.g., celebrating a billionaire's "self-made" success) qualifies as ANTI_EQUALITY even without explicitly opposing redistribution.</w:t>
      </w:r>
    </w:p>
    <w:p>
      <w:r>
        <w:rPr>
          <w:b/>
        </w:rPr>
        <w:t xml:space="preserve">Rule 3 — NEUTRAL is a last resort. </w:t>
      </w:r>
      <w:r>
        <w:t>Assign NEUTRAL only when you cannot identify any normative lean after applying Rules 1 and 2. A high proportion of NEUTRAL labels (&gt;40%) typically indicates the prompt or guidelines need revision.</w:t>
      </w:r>
    </w:p>
    <w:p>
      <w:r>
        <w:rPr>
          <w:b/>
        </w:rPr>
        <w:t xml:space="preserve">Rule 4 — Inequality must be the relevant topic. </w:t>
      </w:r>
      <w:r>
        <w:t>The text must address income/wealth inequality (or closely related concepts: poverty, wages, redistribution, social mobility, meritocracy). Texts on unrelated inequality types (gender, racial) are NEUTRAL unless explicitly linked to economic inequality.</w:t>
      </w:r>
    </w:p>
    <w:p/>
    <w:p>
      <w:pPr>
        <w:pStyle w:val="Heading1"/>
      </w:pPr>
      <w:r>
        <w:rPr>
          <w:color w:val="1A237E"/>
        </w:rPr>
        <w:t>4. Annotated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text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Reasoning</w:t>
            </w:r>
          </w:p>
        </w:tc>
      </w:tr>
      <w:tr>
        <w:tc>
          <w:tcPr>
            <w:tcW w:type="dxa" w:w="2880"/>
          </w:tcPr>
          <w:p>
            <w:r>
              <w:t>PRO_EQUALITY</w:t>
            </w:r>
          </w:p>
        </w:tc>
        <w:tc>
          <w:tcPr>
            <w:tcW w:type="dxa" w:w="2880"/>
          </w:tcPr>
          <w:p>
            <w:r>
              <w:t>"Growing wealth gaps demand urgent policy action. Economists call for a new wealth tax and expanded childcare subsidies to level the playing field for working families."</w:t>
            </w:r>
          </w:p>
        </w:tc>
        <w:tc>
          <w:tcPr>
            <w:tcW w:type="dxa" w:w="2880"/>
          </w:tcPr>
          <w:p>
            <w:r>
              <w:t>Explicit advocacy for redistribution and equal opportunity framing.</w:t>
            </w:r>
          </w:p>
        </w:tc>
      </w:tr>
      <w:tr>
        <w:tc>
          <w:tcPr>
            <w:tcW w:type="dxa" w:w="2880"/>
          </w:tcPr>
          <w:p>
            <w:r>
              <w:t>PRO_EQUALITY</w:t>
            </w:r>
          </w:p>
        </w:tc>
        <w:tc>
          <w:tcPr>
            <w:tcW w:type="dxa" w:w="2880"/>
          </w:tcPr>
          <w:p>
            <w:r>
              <w:t>"A child's zip code should not determine their destiny. Investment in public schools in low-income areas is the single most effective lever against intergenerational poverty."</w:t>
            </w:r>
          </w:p>
        </w:tc>
        <w:tc>
          <w:tcPr>
            <w:tcW w:type="dxa" w:w="2880"/>
          </w:tcPr>
          <w:p>
            <w:r>
              <w:t>Structural critique + policy solution = PRO_EQUALITY, even without mentioning redistribution directly.</w:t>
            </w:r>
          </w:p>
        </w:tc>
      </w:tr>
      <w:tr>
        <w:tc>
          <w:tcPr>
            <w:tcW w:type="dxa" w:w="2880"/>
          </w:tcPr>
          <w:p>
            <w:r>
              <w:t>ANTI_EQUALITY</w:t>
            </w:r>
          </w:p>
        </w:tc>
        <w:tc>
          <w:tcPr>
            <w:tcW w:type="dxa" w:w="2880"/>
          </w:tcPr>
          <w:p>
            <w:r>
              <w:t>"The richest 1% pay nearly 40% of all income taxes. Raising rates further would punish success and drive investment overseas, hurting everyone."</w:t>
            </w:r>
          </w:p>
        </w:tc>
        <w:tc>
          <w:tcPr>
            <w:tcW w:type="dxa" w:w="2880"/>
          </w:tcPr>
          <w:p>
            <w:r>
              <w:t>Anti-redistribution argument framed around efficiency and fairness to high earners.</w:t>
            </w:r>
          </w:p>
        </w:tc>
      </w:tr>
      <w:tr>
        <w:tc>
          <w:tcPr>
            <w:tcW w:type="dxa" w:w="2880"/>
          </w:tcPr>
          <w:p>
            <w:r>
              <w:t>ANTI_EQUALITY</w:t>
            </w:r>
          </w:p>
        </w:tc>
        <w:tc>
          <w:tcPr>
            <w:tcW w:type="dxa" w:w="2880"/>
          </w:tcPr>
          <w:p>
            <w:r>
              <w:t>"Self-made billionaires prove that with determination and hard work, anyone can achieve extraordinary success. Income differences reflect differences in drive and talent."</w:t>
            </w:r>
          </w:p>
        </w:tc>
        <w:tc>
          <w:tcPr>
            <w:tcW w:type="dxa" w:w="2880"/>
          </w:tcPr>
          <w:p>
            <w:r>
              <w:t>Meritocratic framing that implicitly legitimises inequality as deserved.</w:t>
            </w:r>
          </w:p>
        </w:tc>
      </w:tr>
      <w:tr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"The Gini coefficient rose from 0.39 to 0.42 between 2010 and 2022, according to the Census Bureau, driven by gains at the top of the income distribution."</w:t>
            </w:r>
          </w:p>
        </w:tc>
        <w:tc>
          <w:tcPr>
            <w:tcW w:type="dxa" w:w="2880"/>
          </w:tcPr>
          <w:p>
            <w:r>
              <w:t>Pure statistical reporting — no normative framing, no causal attribution, no policy stance.</w:t>
            </w:r>
          </w:p>
        </w:tc>
      </w:tr>
      <w:tr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"The conference brought together economists to debate the causes of rising inequality, with speakers presenting evidence both for structural factors and individual choices."</w:t>
            </w:r>
          </w:p>
        </w:tc>
        <w:tc>
          <w:tcPr>
            <w:tcW w:type="dxa" w:w="2880"/>
          </w:tcPr>
          <w:p>
            <w:r>
              <w:t>Both sides presented without a dominant frame → NEUTRAL.</w:t>
            </w:r>
          </w:p>
        </w:tc>
      </w:tr>
    </w:tbl>
    <w:p/>
    <w:p>
      <w:pPr>
        <w:pStyle w:val="Heading1"/>
      </w:pPr>
      <w:r>
        <w:rPr>
          <w:color w:val="1A237E"/>
        </w:rPr>
        <w:t>5. Automated Classification Pipeline</w:t>
      </w:r>
    </w:p>
    <w:p>
      <w:r>
        <w:t>Classifications are performed by large language models (LLMs) using the prompt defined in EqualityClassifier.ipynb. Three free-tier models are used to cross-validate reliability: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</w:tr>
      <w:tr>
        <w:tc>
          <w:tcPr>
            <w:tcW w:type="dxa" w:w="2160"/>
          </w:tcPr>
          <w:p>
            <w:r>
              <w:t>Primary (500 k texts)</w:t>
            </w:r>
          </w:p>
        </w:tc>
        <w:tc>
          <w:tcPr>
            <w:tcW w:type="dxa" w:w="2160"/>
          </w:tcPr>
          <w:p>
            <w:r>
              <w:t>Llama-3.3-70B-Versatile</w:t>
            </w:r>
          </w:p>
        </w:tc>
        <w:tc>
          <w:tcPr>
            <w:tcW w:type="dxa" w:w="2160"/>
          </w:tcPr>
          <w:p>
            <w:r>
              <w:t>Groq</w:t>
            </w:r>
          </w:p>
        </w:tc>
        <w:tc>
          <w:tcPr>
            <w:tcW w:type="dxa" w:w="2160"/>
          </w:tcPr>
          <w:p>
            <w:r>
              <w:t>console.groq.com</w:t>
            </w:r>
          </w:p>
        </w:tc>
      </w:tr>
      <w:tr>
        <w:tc>
          <w:tcPr>
            <w:tcW w:type="dxa" w:w="2160"/>
          </w:tcPr>
          <w:p>
            <w:r>
              <w:t>Cross-val model 2</w:t>
            </w:r>
          </w:p>
        </w:tc>
        <w:tc>
          <w:tcPr>
            <w:tcW w:type="dxa" w:w="2160"/>
          </w:tcPr>
          <w:p>
            <w:r>
              <w:t>Gemini 2.0 Flash Lite</w:t>
            </w:r>
          </w:p>
        </w:tc>
        <w:tc>
          <w:tcPr>
            <w:tcW w:type="dxa" w:w="2160"/>
          </w:tcPr>
          <w:p>
            <w:r>
              <w:t>Google AI Studio</w:t>
            </w:r>
          </w:p>
        </w:tc>
        <w:tc>
          <w:tcPr>
            <w:tcW w:type="dxa" w:w="2160"/>
          </w:tcPr>
          <w:p>
            <w:r>
              <w:t>aistudio.google.com</w:t>
            </w:r>
          </w:p>
        </w:tc>
      </w:tr>
      <w:tr>
        <w:tc>
          <w:tcPr>
            <w:tcW w:type="dxa" w:w="2160"/>
          </w:tcPr>
          <w:p>
            <w:r>
              <w:t>Cross-val model 3</w:t>
            </w:r>
          </w:p>
        </w:tc>
        <w:tc>
          <w:tcPr>
            <w:tcW w:type="dxa" w:w="2160"/>
          </w:tcPr>
          <w:p>
            <w:r>
              <w:t>Llama-3.3-70B-Instruct:free</w:t>
            </w:r>
          </w:p>
        </w:tc>
        <w:tc>
          <w:tcPr>
            <w:tcW w:type="dxa" w:w="2160"/>
          </w:tcPr>
          <w:p>
            <w:r>
              <w:t>OpenRouter</w:t>
            </w:r>
          </w:p>
        </w:tc>
        <w:tc>
          <w:tcPr>
            <w:tcW w:type="dxa" w:w="2160"/>
          </w:tcPr>
          <w:p>
            <w:r>
              <w:t>openrouter.ai</w:t>
            </w:r>
          </w:p>
        </w:tc>
      </w:tr>
    </w:tbl>
    <w:p/>
    <w:p>
      <w:pPr>
        <w:pStyle w:val="Heading2"/>
      </w:pPr>
      <w:r>
        <w:rPr>
          <w:color w:val="283C93"/>
        </w:rPr>
        <w:t>5.1  Primary Classification</w:t>
      </w:r>
    </w:p>
    <w:p>
      <w:r>
        <w:t>All unique texts are classified by the primary model (Groq / Llama-3.3-70B) using asynchronous batched requests (batch size = 20) with parquet checkpoints every 5 000 texts. The pipeline resumes automatically from the last checkpoint if interrupted. Text cleaning and deduplication are applied before classification.</w:t>
      </w:r>
    </w:p>
    <w:p>
      <w:pPr>
        <w:pStyle w:val="Heading2"/>
      </w:pPr>
      <w:r>
        <w:rPr>
          <w:color w:val="283C93"/>
        </w:rPr>
        <w:t>5.2  Cross-Validation</w:t>
      </w:r>
    </w:p>
    <w:p>
      <w:r>
        <w:t>A stratified sample of up to 500 texts per category (1 500 total) is classified by all three models. Inter-model agreement is measured using Cohen's κ. Thresholds: κ ≥ 0.81 = almost perfect; 0.61–0.80 = substantial; 0.41–0.60 = moderate; &lt; 0.41 = low (prompt revision recommended).</w:t>
      </w:r>
    </w:p>
    <w:p>
      <w:pPr>
        <w:pStyle w:val="Heading2"/>
      </w:pPr>
      <w:r>
        <w:rPr>
          <w:color w:val="283C93"/>
        </w:rPr>
        <w:t>5.3  Text Preprocessing</w:t>
      </w:r>
    </w:p>
    <w:p>
      <w:pPr>
        <w:pStyle w:val="ListBullet"/>
      </w:pPr>
      <w:r>
        <w:t>HTML entity unescaping and URL removal.</w:t>
      </w:r>
    </w:p>
    <w:p>
      <w:pPr>
        <w:pStyle w:val="ListBullet"/>
      </w:pPr>
      <w:r>
        <w:t>Unicode NFKC normalisation and control-character stripping.</w:t>
      </w:r>
    </w:p>
    <w:p>
      <w:pPr>
        <w:pStyle w:val="ListBullet"/>
      </w:pPr>
      <w:r>
        <w:t>Length filter: minimum 50 characters.</w:t>
      </w:r>
    </w:p>
    <w:p>
      <w:pPr>
        <w:pStyle w:val="ListBullet"/>
      </w:pPr>
      <w:r>
        <w:t>Truncation at sentence boundary for texts exceeding 1 200 characters (~300 words).</w:t>
      </w:r>
    </w:p>
    <w:p>
      <w:pPr>
        <w:pStyle w:val="ListBullet"/>
      </w:pPr>
      <w:r>
        <w:t>Deduplication: exact ID duplicates and content-hash duplicates are removed.</w:t>
      </w:r>
    </w:p>
    <w:p/>
    <w:p>
      <w:pPr>
        <w:pStyle w:val="Heading1"/>
      </w:pPr>
      <w:r>
        <w:rPr>
          <w:color w:val="1A237E"/>
        </w:rPr>
        <w:t>6. Theoretical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4320"/>
          </w:tcPr>
          <w:p>
            <w:r>
              <w:t>Shiller (2017, 2019)</w:t>
            </w:r>
          </w:p>
        </w:tc>
        <w:tc>
          <w:tcPr>
            <w:tcW w:type="dxa" w:w="4320"/>
          </w:tcPr>
          <w:p>
            <w:r>
              <w:t>Narratives as contagious objects — justifies studying dynamics and diffusion of inequality frames.</w:t>
            </w:r>
          </w:p>
        </w:tc>
      </w:tr>
      <w:tr>
        <w:tc>
          <w:tcPr>
            <w:tcW w:type="dxa" w:w="4320"/>
          </w:tcPr>
          <w:p>
            <w:r>
              <w:t>Eliaz &amp; Spiegler (2020)</w:t>
            </w:r>
          </w:p>
        </w:tc>
        <w:tc>
          <w:tcPr>
            <w:tcW w:type="dxa" w:w="4320"/>
          </w:tcPr>
          <w:p>
            <w:r>
              <w:t>Narratives as competing causal models — the exact basis for our definition of stance.</w:t>
            </w:r>
          </w:p>
        </w:tc>
      </w:tr>
      <w:tr>
        <w:tc>
          <w:tcPr>
            <w:tcW w:type="dxa" w:w="4320"/>
          </w:tcPr>
          <w:p>
            <w:r>
              <w:t>Culpepper et al. (2024)</w:t>
            </w:r>
          </w:p>
        </w:tc>
        <w:tc>
          <w:tcPr>
            <w:tcW w:type="dxa" w:w="4320"/>
          </w:tcPr>
          <w:p>
            <w:r>
              <w:t>Meritocracy vs. system-rigged frames — maps directly onto PRO/ANTI_EQUALITY distinction.</w:t>
            </w:r>
          </w:p>
        </w:tc>
      </w:tr>
      <w:tr>
        <w:tc>
          <w:tcPr>
            <w:tcW w:type="dxa" w:w="4320"/>
          </w:tcPr>
          <w:p>
            <w:r>
              <w:t>Lukes (2005)</w:t>
            </w:r>
          </w:p>
        </w:tc>
        <w:tc>
          <w:tcPr>
            <w:tcW w:type="dxa" w:w="4320"/>
          </w:tcPr>
          <w:p>
            <w:r>
              <w:t>Three dimensions of power — useful for identifying implicit vs. explicit normative frames.</w:t>
            </w:r>
          </w:p>
        </w:tc>
      </w:tr>
    </w:tbl>
    <w:p/>
    <w:p>
      <w:pPr>
        <w:pStyle w:val="Heading1"/>
      </w:pPr>
      <w:r>
        <w:rPr>
          <w:color w:val="1A237E"/>
        </w:rPr>
        <w:t>7. Mapping from the Previous Four-Category Scheme</w:t>
      </w:r>
    </w:p>
    <w:p>
      <w:r>
        <w:t>This manual supersedes the four-category scheme (Redistribution, Meritocracy, Equal Opportunities, Fairness/Natural Inequality). The mapping is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Previous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category</w:t>
            </w:r>
          </w:p>
        </w:tc>
      </w:tr>
      <w:tr>
        <w:tc>
          <w:tcPr>
            <w:tcW w:type="dxa" w:w="4320"/>
          </w:tcPr>
          <w:p>
            <w:r>
              <w:t>Redistribution Narrative</w:t>
            </w:r>
          </w:p>
        </w:tc>
        <w:tc>
          <w:tcPr>
            <w:tcW w:type="dxa" w:w="4320"/>
          </w:tcPr>
          <w:p>
            <w:r>
              <w:t>PRO_EQUALITY</w:t>
            </w:r>
          </w:p>
        </w:tc>
      </w:tr>
      <w:tr>
        <w:tc>
          <w:tcPr>
            <w:tcW w:type="dxa" w:w="4320"/>
          </w:tcPr>
          <w:p>
            <w:r>
              <w:t>Equal Opportunities Narrative</w:t>
            </w:r>
          </w:p>
        </w:tc>
        <w:tc>
          <w:tcPr>
            <w:tcW w:type="dxa" w:w="4320"/>
          </w:tcPr>
          <w:p>
            <w:r>
              <w:t>PRO_EQUALITY</w:t>
            </w:r>
          </w:p>
        </w:tc>
      </w:tr>
      <w:tr>
        <w:tc>
          <w:tcPr>
            <w:tcW w:type="dxa" w:w="4320"/>
          </w:tcPr>
          <w:p>
            <w:r>
              <w:t>Meritocracy Narrative</w:t>
            </w:r>
          </w:p>
        </w:tc>
        <w:tc>
          <w:tcPr>
            <w:tcW w:type="dxa" w:w="4320"/>
          </w:tcPr>
          <w:p>
            <w:r>
              <w:t>ANTI_EQUALITY</w:t>
            </w:r>
          </w:p>
        </w:tc>
      </w:tr>
      <w:tr>
        <w:tc>
          <w:tcPr>
            <w:tcW w:type="dxa" w:w="4320"/>
          </w:tcPr>
          <w:p>
            <w:r>
              <w:t>Fairness / Natural Inequality Narrative</w:t>
            </w:r>
          </w:p>
        </w:tc>
        <w:tc>
          <w:tcPr>
            <w:tcW w:type="dxa" w:w="4320"/>
          </w:tcPr>
          <w:p>
            <w:r>
              <w:t>ANTI_EQUALITY</w:t>
            </w:r>
          </w:p>
        </w:tc>
      </w:tr>
      <w:tr>
        <w:tc>
          <w:tcPr>
            <w:tcW w:type="dxa" w:w="4320"/>
          </w:tcPr>
          <w:p>
            <w:r>
              <w:t>(no equivalent)</w:t>
            </w:r>
          </w:p>
        </w:tc>
        <w:tc>
          <w:tcPr>
            <w:tcW w:type="dxa" w:w="4320"/>
          </w:tcPr>
          <w:p>
            <w:r>
              <w:t>NEUTRAL  (new residual category)</w:t>
            </w:r>
          </w:p>
        </w:tc>
      </w:tr>
    </w:tbl>
    <w:p/>
    <w:p>
      <w:r>
        <w:rPr>
          <w:i/>
          <w:color w:val="555555"/>
        </w:rPr>
        <w:t>Note: The previous scheme used continuous scores (0–1) per narrative. The new scheme uses a single categorical label per text with an associated confidence score. This change reduces prompt token count, increases throughput by ~2×, and simplifies inter-model agreement measurement.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