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ANNOTATION GUIDELINES</w:t>
      </w:r>
    </w:p>
    <w:p>
      <w:pPr>
        <w:jc w:val="center"/>
      </w:pPr>
      <w:r>
        <w:rPr>
          <w:b/>
          <w:sz w:val="26"/>
        </w:rPr>
        <w:t>Equality Narratives in News Coverage of Economic and Social Inequality</w:t>
      </w:r>
    </w:p>
    <w:p/>
    <w:p>
      <w:pPr>
        <w:pStyle w:val="Heading1"/>
      </w:pPr>
      <w:r>
        <w:rPr>
          <w:color w:val="1A237E"/>
        </w:rPr>
        <w:t>1. Purpose</w:t>
      </w:r>
    </w:p>
    <w:p>
      <w:r>
        <w:t>The goal of this annotation task is to classify news text segments according to the normative stance they express or imply regarding economic and social inequality. Inequality is understood broadly to cover four dimensions: income/wealth, gender, education, and health. A stance is defined as a verbal description that conveys approval, disapproval, or indifference toward inequality and the mechanisms that produce or sustain it (Eliaz &amp; Spiegler, 2020; Shiller, 2017).</w:t>
      </w:r>
    </w:p>
    <w:p>
      <w:r>
        <w:t>Each text receives exactly one label from three mutually exclusive categories: PRO_EQUALITY, ANTI_EQUALITY, or NEUTRAL. The NEUTRAL category is a residual ("fallout") class for texts that do not express a clear normative position.</w:t>
      </w:r>
    </w:p>
    <w:p/>
    <w:p>
      <w:pPr>
        <w:pStyle w:val="Heading1"/>
      </w:pPr>
      <w:r>
        <w:rPr>
          <w:color w:val="1A237E"/>
        </w:rPr>
        <w:t>2. Inequality Dimensions in Scope</w:t>
      </w:r>
    </w:p>
    <w:p>
      <w:r>
        <w:t>All four dimensions share the same three-category labelling scheme. The underlying logic — does the text support or oppose reducing inequality? — applies equally regardless of dimension.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Dimension</w:t>
            </w:r>
          </w:p>
        </w:tc>
        <w:tc>
          <w:tcPr>
            <w:tcW w:type="dxa" w:w="2880"/>
          </w:tcPr>
          <w:p>
            <w:r>
              <w:rPr>
                <w:b/>
              </w:rPr>
              <w:t>Key concepts</w:t>
            </w:r>
          </w:p>
        </w:tc>
        <w:tc>
          <w:tcPr>
            <w:tcW w:type="dxa" w:w="2880"/>
          </w:tcPr>
          <w:p>
            <w:r>
              <w:rPr>
                <w:b/>
              </w:rPr>
              <w:t>Typical sources</w:t>
            </w:r>
          </w:p>
        </w:tc>
      </w:tr>
      <w:tr>
        <w:tc>
          <w:tcPr>
            <w:tcW w:type="dxa" w:w="2880"/>
          </w:tcPr>
          <w:p>
            <w:r>
              <w:t>Income / Wealth</w:t>
            </w:r>
          </w:p>
        </w:tc>
        <w:tc>
          <w:tcPr>
            <w:tcW w:type="dxa" w:w="2880"/>
          </w:tcPr>
          <w:p>
            <w:r>
              <w:t>Wages, taxes, redistribution, wealth gaps, social mobility</w:t>
            </w:r>
          </w:p>
        </w:tc>
        <w:tc>
          <w:tcPr>
            <w:tcW w:type="dxa" w:w="2880"/>
          </w:tcPr>
          <w:p>
            <w:r>
              <w:t>Economics, business, policy news</w:t>
            </w:r>
          </w:p>
        </w:tc>
      </w:tr>
      <w:tr>
        <w:tc>
          <w:tcPr>
            <w:tcW w:type="dxa" w:w="2880"/>
          </w:tcPr>
          <w:p>
            <w:r>
              <w:t>Gender</w:t>
            </w:r>
          </w:p>
        </w:tc>
        <w:tc>
          <w:tcPr>
            <w:tcW w:type="dxa" w:w="2880"/>
          </w:tcPr>
          <w:p>
            <w:r>
              <w:t>Gender pay gap, occupational segregation, parental leave, glass ceiling</w:t>
            </w:r>
          </w:p>
        </w:tc>
        <w:tc>
          <w:tcPr>
            <w:tcW w:type="dxa" w:w="2880"/>
          </w:tcPr>
          <w:p>
            <w:r>
              <w:t>Labour, politics, social affairs</w:t>
            </w:r>
          </w:p>
        </w:tc>
      </w:tr>
      <w:tr>
        <w:tc>
          <w:tcPr>
            <w:tcW w:type="dxa" w:w="2880"/>
          </w:tcPr>
          <w:p>
            <w:r>
              <w:t>Education</w:t>
            </w:r>
          </w:p>
        </w:tc>
        <w:tc>
          <w:tcPr>
            <w:tcW w:type="dxa" w:w="2880"/>
          </w:tcPr>
          <w:p>
            <w:r>
              <w:t>Access to schooling, tuition fees, attainment gaps by class/race</w:t>
            </w:r>
          </w:p>
        </w:tc>
        <w:tc>
          <w:tcPr>
            <w:tcW w:type="dxa" w:w="2880"/>
          </w:tcPr>
          <w:p>
            <w:r>
              <w:t>Education, policy, social mobility</w:t>
            </w:r>
          </w:p>
        </w:tc>
      </w:tr>
      <w:tr>
        <w:tc>
          <w:tcPr>
            <w:tcW w:type="dxa" w:w="2880"/>
          </w:tcPr>
          <w:p>
            <w:r>
              <w:t>Health</w:t>
            </w:r>
          </w:p>
        </w:tc>
        <w:tc>
          <w:tcPr>
            <w:tcW w:type="dxa" w:w="2880"/>
          </w:tcPr>
          <w:p>
            <w:r>
              <w:t>Healthcare access, mortality gaps, insurance, public health spending</w:t>
            </w:r>
          </w:p>
        </w:tc>
        <w:tc>
          <w:tcPr>
            <w:tcW w:type="dxa" w:w="2880"/>
          </w:tcPr>
          <w:p>
            <w:r>
              <w:t>Health, policy, science reporting</w:t>
            </w:r>
          </w:p>
        </w:tc>
      </w:tr>
    </w:tbl>
    <w:p/>
    <w:p>
      <w:r>
        <w:rPr>
          <w:i/>
          <w:color w:val="555555"/>
        </w:rPr>
        <w:t>The dataset column "dimension" records which inequality type each text addresses. Classification labels are assigned independently of dimension — the same three categories apply to all four. Downstream analysis uses the dimension column to compare label distributions across domains.</w:t>
      </w:r>
    </w:p>
    <w:p/>
    <w:p>
      <w:pPr>
        <w:pStyle w:val="Heading1"/>
      </w:pPr>
      <w:r>
        <w:rPr>
          <w:color w:val="1A237E"/>
        </w:rPr>
        <w:t>3. Category Definitions</w:t>
      </w:r>
    </w:p>
    <w:p>
      <w:pPr>
        <w:pStyle w:val="Heading2"/>
      </w:pPr>
      <w:r>
        <w:rPr>
          <w:color w:val="283C93"/>
        </w:rPr>
        <w:t>3.1  PRO_EQUALITY</w:t>
      </w:r>
    </w:p>
    <w:p>
      <w:r>
        <w:t>Definition: The text expresses or implies support for reducing inequality in any of the four dimensions. This includes explicit advocacy as well as implicit framing that portrays inequality as problematic, correctable, or unjust.</w:t>
      </w:r>
    </w:p>
    <w:p>
      <w:pPr>
        <w:pStyle w:val="Heading3"/>
      </w:pPr>
      <w:r>
        <w:t>Implicit Causal Model</w:t>
      </w:r>
    </w:p>
    <w:p>
      <w:pPr>
        <w:pStyle w:val="ListBullet"/>
      </w:pPr>
      <w:r>
        <w:t>Inequality is produced by structural, institutional, or systemic forces.</w:t>
      </w:r>
    </w:p>
    <w:p>
      <w:pPr>
        <w:pStyle w:val="ListBullet"/>
      </w:pPr>
      <w:r>
        <w:t>Government or institutional policy can and should correct it.</w:t>
      </w:r>
    </w:p>
    <w:p>
      <w:pPr>
        <w:pStyle w:val="ListBullet"/>
      </w:pPr>
      <w:r>
        <w:t>Equal access to resources and opportunities is a legitimate societal goal.</w:t>
      </w:r>
    </w:p>
    <w:p>
      <w:pPr>
        <w:pStyle w:val="Heading3"/>
      </w:pPr>
      <w:r>
        <w:t>Typical Indicators</w:t>
      </w:r>
    </w:p>
    <w:p>
      <w:pPr>
        <w:pStyle w:val="ListBullet"/>
      </w:pPr>
      <w:r>
        <w:t>Income/wealth: calls for redistribution, progressive taxation, wealth taxes, or social programs.</w:t>
      </w:r>
    </w:p>
    <w:p>
      <w:pPr>
        <w:pStyle w:val="ListBullet"/>
      </w:pPr>
      <w:r>
        <w:t>Gender: critique of the gender pay gap, advocacy for parental leave or pay equity legislation.</w:t>
      </w:r>
    </w:p>
    <w:p>
      <w:pPr>
        <w:pStyle w:val="ListBullet"/>
      </w:pPr>
      <w:r>
        <w:t>Education: advocacy for free/subsidised education, closing attainment gaps, school funding equity.</w:t>
      </w:r>
    </w:p>
    <w:p>
      <w:pPr>
        <w:pStyle w:val="ListBullet"/>
      </w:pPr>
      <w:r>
        <w:t>Health: support for universal healthcare, critique of health disparities, public health investment.</w:t>
      </w:r>
    </w:p>
    <w:p>
      <w:pPr>
        <w:pStyle w:val="ListBullet"/>
      </w:pPr>
      <w:r>
        <w:t>Cross-cutting: language framing disparity as a structural failure or political choice.</w:t>
      </w:r>
    </w:p>
    <w:p>
      <w:pPr>
        <w:pStyle w:val="Heading3"/>
      </w:pPr>
      <w:r>
        <w:t>Include when</w:t>
      </w:r>
    </w:p>
    <w:p>
      <w:pPr>
        <w:pStyle w:val="ListBullet"/>
      </w:pPr>
      <w:r>
        <w:t>Inequality is framed as correctable through collective or governmental action.</w:t>
      </w:r>
    </w:p>
    <w:p>
      <w:pPr>
        <w:pStyle w:val="ListBullet"/>
      </w:pPr>
      <w:r>
        <w:t>The text criticises disparities as unjust, even without proposing specific solutions.</w:t>
      </w:r>
    </w:p>
    <w:p>
      <w:pPr>
        <w:pStyle w:val="ListBullet"/>
      </w:pPr>
      <w:r>
        <w:t>Equal outcomes or opportunities are defended as normative goals.</w:t>
      </w:r>
    </w:p>
    <w:p>
      <w:pPr>
        <w:pStyle w:val="Heading3"/>
      </w:pPr>
      <w:r>
        <w:t>Exclude when</w:t>
      </w:r>
    </w:p>
    <w:p>
      <w:pPr>
        <w:pStyle w:val="ListBullet"/>
      </w:pPr>
      <w:r>
        <w:t>The text merely reports statistics without expressing a stance.</w:t>
      </w:r>
    </w:p>
    <w:p>
      <w:pPr>
        <w:pStyle w:val="ListBullet"/>
      </w:pPr>
      <w:r>
        <w:t>Inequality is mentioned only to explain it as natural or deserved.</w:t>
      </w:r>
    </w:p>
    <w:p>
      <w:pPr>
        <w:pStyle w:val="ListBullet"/>
      </w:pPr>
      <w:r>
        <w:t>Both pro- and anti-equality arguments are given equal weight (→ NEUTRAL).</w:t>
      </w:r>
    </w:p>
    <w:p/>
    <w:p>
      <w:pPr>
        <w:pStyle w:val="Heading2"/>
      </w:pPr>
      <w:r>
        <w:rPr>
          <w:color w:val="283C93"/>
        </w:rPr>
        <w:t>3.2  ANTI_EQUALITY</w:t>
      </w:r>
    </w:p>
    <w:p>
      <w:r>
        <w:t>Definition: The text expresses or implies that inequality is justified, natural, efficient, or beneficial in any of the four dimensions. This includes both explicit defences and implicit framings that portray intervention as harmful or undeserved.</w:t>
      </w:r>
    </w:p>
    <w:p>
      <w:pPr>
        <w:pStyle w:val="Heading3"/>
      </w:pPr>
      <w:r>
        <w:t>Implicit Causal Model</w:t>
      </w:r>
    </w:p>
    <w:p>
      <w:pPr>
        <w:pStyle w:val="ListBullet"/>
      </w:pPr>
      <w:r>
        <w:t>Unequal outcomes reflect differences in individual merit, effort, talent, or biology.</w:t>
      </w:r>
    </w:p>
    <w:p>
      <w:pPr>
        <w:pStyle w:val="ListBullet"/>
      </w:pPr>
      <w:r>
        <w:t>Markets or natural processes produce efficient and fair distributions; intervention distorts them.</w:t>
      </w:r>
    </w:p>
    <w:p>
      <w:pPr>
        <w:pStyle w:val="ListBullet"/>
      </w:pPr>
      <w:r>
        <w:t>Inequality is an inevitable or necessary feature of a well-functioning society.</w:t>
      </w:r>
    </w:p>
    <w:p>
      <w:pPr>
        <w:pStyle w:val="Heading3"/>
      </w:pPr>
      <w:r>
        <w:t>Typical Indicators</w:t>
      </w:r>
    </w:p>
    <w:p>
      <w:pPr>
        <w:pStyle w:val="ListBullet"/>
      </w:pPr>
      <w:r>
        <w:t>Income/wealth: arguments that high earners deserve rewards; opposition to redistribution on efficiency grounds.</w:t>
      </w:r>
    </w:p>
    <w:p>
      <w:pPr>
        <w:pStyle w:val="ListBullet"/>
      </w:pPr>
      <w:r>
        <w:t>Gender: claims that pay gaps reflect occupational choices or biological differences, not discrimination.</w:t>
      </w:r>
    </w:p>
    <w:p>
      <w:pPr>
        <w:pStyle w:val="ListBullet"/>
      </w:pPr>
      <w:r>
        <w:t>Education: arguments that elite education reflects merit; opposition to affirmative action.</w:t>
      </w:r>
    </w:p>
    <w:p>
      <w:pPr>
        <w:pStyle w:val="ListBullet"/>
      </w:pPr>
      <w:r>
        <w:t>Health: framing health disparities as lifestyle choices; opposition to universal healthcare as "socialism".</w:t>
      </w:r>
    </w:p>
    <w:p>
      <w:pPr>
        <w:pStyle w:val="ListBullet"/>
      </w:pPr>
      <w:r>
        <w:t>Cross-cutting: meritocratic language; framing intervention as harmful, wasteful, or unfair.</w:t>
      </w:r>
    </w:p>
    <w:p>
      <w:pPr>
        <w:pStyle w:val="Heading3"/>
      </w:pPr>
      <w:r>
        <w:t>Include when</w:t>
      </w:r>
    </w:p>
    <w:p>
      <w:pPr>
        <w:pStyle w:val="ListBullet"/>
      </w:pPr>
      <w:r>
        <w:t>Inequality is defended as the legitimate result of free markets, individual choices, or natural differences.</w:t>
      </w:r>
    </w:p>
    <w:p>
      <w:pPr>
        <w:pStyle w:val="ListBullet"/>
      </w:pPr>
      <w:r>
        <w:t>Redistribution or equity programmes are explicitly or implicitly opposed.</w:t>
      </w:r>
    </w:p>
    <w:p>
      <w:pPr>
        <w:pStyle w:val="ListBullet"/>
      </w:pPr>
      <w:r>
        <w:t>The text normalises or celebrates wealth concentration or group disparities.</w:t>
      </w:r>
    </w:p>
    <w:p>
      <w:pPr>
        <w:pStyle w:val="Heading3"/>
      </w:pPr>
      <w:r>
        <w:t>Exclude when</w:t>
      </w:r>
    </w:p>
    <w:p>
      <w:pPr>
        <w:pStyle w:val="ListBullet"/>
      </w:pPr>
      <w:r>
        <w:t>The text merely explains that some individuals succeed through effort without defending inequality.</w:t>
      </w:r>
    </w:p>
    <w:p>
      <w:pPr>
        <w:pStyle w:val="ListBullet"/>
      </w:pPr>
      <w:r>
        <w:t>The text critiques meritocracy or questions whether outcomes are truly deserved.</w:t>
      </w:r>
    </w:p>
    <w:p/>
    <w:p>
      <w:pPr>
        <w:pStyle w:val="Heading2"/>
      </w:pPr>
      <w:r>
        <w:rPr>
          <w:color w:val="283C93"/>
        </w:rPr>
        <w:t>3.3  NEUTRAL  (residual / fallout category)</w:t>
      </w:r>
    </w:p>
    <w:p>
      <w:r>
        <w:t>Definition: The text does not express a clear normative stance toward inequality. NEUTRAL is a fallout category: assign it only when neither PRO_EQUALITY nor ANTI_EQUALITY applies.</w:t>
      </w:r>
    </w:p>
    <w:p>
      <w:pPr>
        <w:pStyle w:val="Heading3"/>
      </w:pPr>
      <w:r>
        <w:t>Typical cases</w:t>
      </w:r>
    </w:p>
    <w:p>
      <w:pPr>
        <w:pStyle w:val="ListBullet"/>
      </w:pPr>
      <w:r>
        <w:t>Factual reporting of statistics, rankings, or research findings without editorial framing.</w:t>
      </w:r>
    </w:p>
    <w:p>
      <w:pPr>
        <w:pStyle w:val="ListBullet"/>
      </w:pPr>
      <w:r>
        <w:t>Descriptive accounts of inequality trends without attributing cause or assigning blame.</w:t>
      </w:r>
    </w:p>
    <w:p>
      <w:pPr>
        <w:pStyle w:val="ListBullet"/>
      </w:pPr>
      <w:r>
        <w:t>Texts presenting both pro- and anti-equality arguments with equal weight.</w:t>
      </w:r>
    </w:p>
    <w:p>
      <w:pPr>
        <w:pStyle w:val="ListBullet"/>
      </w:pPr>
      <w:r>
        <w:t>Coverage where inequality is mentioned only tangentially or as background context.</w:t>
      </w:r>
    </w:p>
    <w:p>
      <w:pPr>
        <w:pStyle w:val="Heading3"/>
      </w:pPr>
      <w:r>
        <w:t>Include when</w:t>
      </w:r>
    </w:p>
    <w:p>
      <w:pPr>
        <w:pStyle w:val="ListBullet"/>
      </w:pPr>
      <w:r>
        <w:t>The text is purely descriptive (who, what, where, when) without normative framing.</w:t>
      </w:r>
    </w:p>
    <w:p>
      <w:pPr>
        <w:pStyle w:val="ListBullet"/>
      </w:pPr>
      <w:r>
        <w:t>No causal mechanism linking inequality to policy, merit, or structural factors is implied.</w:t>
      </w:r>
    </w:p>
    <w:p>
      <w:r>
        <w:rPr>
          <w:i/>
          <w:color w:val="555555"/>
        </w:rPr>
        <w:t>Important: NEUTRAL should not be used as a default for ambiguous texts. If a text expresses even a mild normative lean, assign PRO_EQUALITY or ANTI_EQUALITY. A high proportion of NEUTRAL (&gt;40%) typically signals prompt or guideline revision is needed.</w:t>
      </w:r>
    </w:p>
    <w:p/>
    <w:p>
      <w:pPr>
        <w:pStyle w:val="Heading1"/>
      </w:pPr>
      <w:r>
        <w:rPr>
          <w:color w:val="1A237E"/>
        </w:rPr>
        <w:t>4. Decision Rules</w:t>
      </w:r>
    </w:p>
    <w:p>
      <w:r>
        <w:t>Apply these rules in order when a text is ambiguous:</w:t>
      </w:r>
    </w:p>
    <w:p>
      <w:r>
        <w:rPr>
          <w:b/>
        </w:rPr>
        <w:t xml:space="preserve">Rule 1 — Dominant frame wins. </w:t>
      </w:r>
      <w:r>
        <w:t>If a text contains both pro- and anti-equality elements, assign the label that corresponds to the dominant or concluding frame. Headlines, opening sentences, and closing arguments carry more weight than passing mentions.</w:t>
      </w:r>
    </w:p>
    <w:p>
      <w:r>
        <w:rPr>
          <w:b/>
        </w:rPr>
        <w:t xml:space="preserve">Rule 2 — Implicit beats explicit absence. </w:t>
      </w:r>
      <w:r>
        <w:t>A text that implicitly legitimises inequality (e.g., celebrating a “self-made” billionaire; attributing a gender pay gap to “occupational choices”) qualifies as ANTI_EQUALITY even without explicitly opposing intervention.</w:t>
      </w:r>
    </w:p>
    <w:p>
      <w:r>
        <w:rPr>
          <w:b/>
        </w:rPr>
        <w:t xml:space="preserve">Rule 3 — NEUTRAL is a last resort. </w:t>
      </w:r>
      <w:r>
        <w:t>Assign NEUTRAL only when you cannot identify any normative lean after applying Rules 1 and 2.</w:t>
      </w:r>
    </w:p>
    <w:p>
      <w:r>
        <w:rPr>
          <w:b/>
        </w:rPr>
        <w:t xml:space="preserve">Rule 4 — Dimension does not change the label logic. </w:t>
      </w:r>
      <w:r>
        <w:t>The same three-category scheme applies to income, gender, education, and health texts. Do not create dimension-specific exceptions.</w:t>
      </w:r>
    </w:p>
    <w:p>
      <w:r>
        <w:rPr>
          <w:b/>
        </w:rPr>
        <w:t xml:space="preserve">Rule 5 — Inequality must be the relevant topic. </w:t>
      </w:r>
      <w:r>
        <w:t>The text must address one of the four in-scope dimensions. Texts on unrelated topics are NEUTRAL.</w:t>
      </w:r>
    </w:p>
    <w:p/>
    <w:p>
      <w:pPr>
        <w:pStyle w:val="Heading1"/>
      </w:pPr>
      <w:r>
        <w:rPr>
          <w:color w:val="1A237E"/>
        </w:rPr>
        <w:t>5. Annotated Examples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Label</w:t>
            </w:r>
          </w:p>
        </w:tc>
        <w:tc>
          <w:tcPr>
            <w:tcW w:type="dxa" w:w="2160"/>
          </w:tcPr>
          <w:p>
            <w:r>
              <w:rPr>
                <w:b/>
              </w:rPr>
              <w:t>Dimension</w:t>
            </w:r>
          </w:p>
        </w:tc>
        <w:tc>
          <w:tcPr>
            <w:tcW w:type="dxa" w:w="2160"/>
          </w:tcPr>
          <w:p>
            <w:r>
              <w:rPr>
                <w:b/>
              </w:rPr>
              <w:t>Example text</w:t>
            </w:r>
          </w:p>
        </w:tc>
        <w:tc>
          <w:tcPr>
            <w:tcW w:type="dxa" w:w="2160"/>
          </w:tcPr>
          <w:p>
            <w:r>
              <w:rPr>
                <w:b/>
              </w:rPr>
              <w:t>Reasoning</w:t>
            </w:r>
          </w:p>
        </w:tc>
      </w:tr>
      <w:tr>
        <w:tc>
          <w:tcPr>
            <w:tcW w:type="dxa" w:w="2160"/>
          </w:tcPr>
          <w:p>
            <w:r>
              <w:t>PRO_EQUALITY</w:t>
            </w:r>
          </w:p>
        </w:tc>
        <w:tc>
          <w:tcPr>
            <w:tcW w:type="dxa" w:w="2160"/>
          </w:tcPr>
          <w:p>
            <w:r>
              <w:t>Income/wealth</w:t>
            </w:r>
          </w:p>
        </w:tc>
        <w:tc>
          <w:tcPr>
            <w:tcW w:type="dxa" w:w="2160"/>
          </w:tcPr>
          <w:p>
            <w:r>
              <w:t>"Growing wealth gaps demand urgent policy action. Economists call for a new wealth tax and expanded childcare subsidies to level the playing field for working families."</w:t>
            </w:r>
          </w:p>
        </w:tc>
        <w:tc>
          <w:tcPr>
            <w:tcW w:type="dxa" w:w="2160"/>
          </w:tcPr>
          <w:p>
            <w:r>
              <w:t>Explicit redistribution advocacy + structural framing.</w:t>
            </w:r>
          </w:p>
        </w:tc>
      </w:tr>
      <w:tr>
        <w:tc>
          <w:tcPr>
            <w:tcW w:type="dxa" w:w="2160"/>
          </w:tcPr>
          <w:p>
            <w:r>
              <w:t>PRO_EQUALITY</w:t>
            </w:r>
          </w:p>
        </w:tc>
        <w:tc>
          <w:tcPr>
            <w:tcW w:type="dxa" w:w="2160"/>
          </w:tcPr>
          <w:p>
            <w:r>
              <w:t>Gender</w:t>
            </w:r>
          </w:p>
        </w:tc>
        <w:tc>
          <w:tcPr>
            <w:tcW w:type="dxa" w:w="2160"/>
          </w:tcPr>
          <w:p>
            <w:r>
              <w:t>"Women still earn 82 cents for every dollar earned by men. Advocates say mandatory pay transparency laws are the only way to close the gap."</w:t>
            </w:r>
          </w:p>
        </w:tc>
        <w:tc>
          <w:tcPr>
            <w:tcW w:type="dxa" w:w="2160"/>
          </w:tcPr>
          <w:p>
            <w:r>
              <w:t>Frames gender pay gap as correctable through policy; implies it is unjust.</w:t>
            </w:r>
          </w:p>
        </w:tc>
      </w:tr>
      <w:tr>
        <w:tc>
          <w:tcPr>
            <w:tcW w:type="dxa" w:w="2160"/>
          </w:tcPr>
          <w:p>
            <w:r>
              <w:t>PRO_EQUALITY</w:t>
            </w:r>
          </w:p>
        </w:tc>
        <w:tc>
          <w:tcPr>
            <w:tcW w:type="dxa" w:w="2160"/>
          </w:tcPr>
          <w:p>
            <w:r>
              <w:t>Education</w:t>
            </w:r>
          </w:p>
        </w:tc>
        <w:tc>
          <w:tcPr>
            <w:tcW w:type="dxa" w:w="2160"/>
          </w:tcPr>
          <w:p>
            <w:r>
              <w:t>"A child’s zip code should not determine their destiny. Investment in public schools in low-income areas is the single most effective lever against intergenerational poverty."</w:t>
            </w:r>
          </w:p>
        </w:tc>
        <w:tc>
          <w:tcPr>
            <w:tcW w:type="dxa" w:w="2160"/>
          </w:tcPr>
          <w:p>
            <w:r>
              <w:t>Structural critique + equal opportunity framing.</w:t>
            </w:r>
          </w:p>
        </w:tc>
      </w:tr>
      <w:tr>
        <w:tc>
          <w:tcPr>
            <w:tcW w:type="dxa" w:w="2160"/>
          </w:tcPr>
          <w:p>
            <w:r>
              <w:t>PRO_EQUALITY</w:t>
            </w:r>
          </w:p>
        </w:tc>
        <w:tc>
          <w:tcPr>
            <w:tcW w:type="dxa" w:w="2160"/>
          </w:tcPr>
          <w:p>
            <w:r>
              <w:t>Health</w:t>
            </w:r>
          </w:p>
        </w:tc>
        <w:tc>
          <w:tcPr>
            <w:tcW w:type="dxa" w:w="2160"/>
          </w:tcPr>
          <w:p>
            <w:r>
              <w:t>"Life expectancy in the poorest postcodes is 10 years shorter than in the wealthiest. Campaigners are calling for an emergency NHS funding boost for deprived areas."</w:t>
            </w:r>
          </w:p>
        </w:tc>
        <w:tc>
          <w:tcPr>
            <w:tcW w:type="dxa" w:w="2160"/>
          </w:tcPr>
          <w:p>
            <w:r>
              <w:t>Health disparity framed as a structural injustice requiring government action.</w:t>
            </w:r>
          </w:p>
        </w:tc>
      </w:tr>
      <w:tr>
        <w:tc>
          <w:tcPr>
            <w:tcW w:type="dxa" w:w="2160"/>
          </w:tcPr>
          <w:p>
            <w:r>
              <w:t>ANTI_EQUALITY</w:t>
            </w:r>
          </w:p>
        </w:tc>
        <w:tc>
          <w:tcPr>
            <w:tcW w:type="dxa" w:w="2160"/>
          </w:tcPr>
          <w:p>
            <w:r>
              <w:t>Income/wealth</w:t>
            </w:r>
          </w:p>
        </w:tc>
        <w:tc>
          <w:tcPr>
            <w:tcW w:type="dxa" w:w="2160"/>
          </w:tcPr>
          <w:p>
            <w:r>
              <w:t>"The richest 1% pay nearly 40% of all income taxes. Raising rates further would punish success and drive investment overseas, hurting everyone."</w:t>
            </w:r>
          </w:p>
        </w:tc>
        <w:tc>
          <w:tcPr>
            <w:tcW w:type="dxa" w:w="2160"/>
          </w:tcPr>
          <w:p>
            <w:r>
              <w:t>Anti-redistribution argument framed around efficiency and fairness to high earners.</w:t>
            </w:r>
          </w:p>
        </w:tc>
      </w:tr>
      <w:tr>
        <w:tc>
          <w:tcPr>
            <w:tcW w:type="dxa" w:w="2160"/>
          </w:tcPr>
          <w:p>
            <w:r>
              <w:t>ANTI_EQUALITY</w:t>
            </w:r>
          </w:p>
        </w:tc>
        <w:tc>
          <w:tcPr>
            <w:tcW w:type="dxa" w:w="2160"/>
          </w:tcPr>
          <w:p>
            <w:r>
              <w:t>Gender</w:t>
            </w:r>
          </w:p>
        </w:tc>
        <w:tc>
          <w:tcPr>
            <w:tcW w:type="dxa" w:w="2160"/>
          </w:tcPr>
          <w:p>
            <w:r>
              <w:t>"The gender pay gap largely disappears once you control for hours worked and occupation. Women simply make different career choices."</w:t>
            </w:r>
          </w:p>
        </w:tc>
        <w:tc>
          <w:tcPr>
            <w:tcW w:type="dxa" w:w="2160"/>
          </w:tcPr>
          <w:p>
            <w:r>
              <w:t>Frames gender pay gap as the result of individual choices, not discrimination — implicitly argues no policy correction is needed.</w:t>
            </w:r>
          </w:p>
        </w:tc>
      </w:tr>
      <w:tr>
        <w:tc>
          <w:tcPr>
            <w:tcW w:type="dxa" w:w="2160"/>
          </w:tcPr>
          <w:p>
            <w:r>
              <w:t>ANTI_EQUALITY</w:t>
            </w:r>
          </w:p>
        </w:tc>
        <w:tc>
          <w:tcPr>
            <w:tcW w:type="dxa" w:w="2160"/>
          </w:tcPr>
          <w:p>
            <w:r>
              <w:t>Education</w:t>
            </w:r>
          </w:p>
        </w:tc>
        <w:tc>
          <w:tcPr>
            <w:tcW w:type="dxa" w:w="2160"/>
          </w:tcPr>
          <w:p>
            <w:r>
              <w:t>"Elite universities are elite because they select the best students. Forcing them to lower admission standards in the name of diversity harms academic excellence."</w:t>
            </w:r>
          </w:p>
        </w:tc>
        <w:tc>
          <w:tcPr>
            <w:tcW w:type="dxa" w:w="2160"/>
          </w:tcPr>
          <w:p>
            <w:r>
              <w:t>Defends educational inequality as reflecting merit; opposes equity intervention.</w:t>
            </w:r>
          </w:p>
        </w:tc>
      </w:tr>
      <w:tr>
        <w:tc>
          <w:tcPr>
            <w:tcW w:type="dxa" w:w="2160"/>
          </w:tcPr>
          <w:p>
            <w:r>
              <w:t>NEUTRAL</w:t>
            </w:r>
          </w:p>
        </w:tc>
        <w:tc>
          <w:tcPr>
            <w:tcW w:type="dxa" w:w="2160"/>
          </w:tcPr>
          <w:p>
            <w:r>
              <w:t>Income/wealth</w:t>
            </w:r>
          </w:p>
        </w:tc>
        <w:tc>
          <w:tcPr>
            <w:tcW w:type="dxa" w:w="2160"/>
          </w:tcPr>
          <w:p>
            <w:r>
              <w:t>"The Gini coefficient rose from 0.39 to 0.42 between 2010 and 2022, according to the Census Bureau, driven by gains at the top of the income distribution."</w:t>
            </w:r>
          </w:p>
        </w:tc>
        <w:tc>
          <w:tcPr>
            <w:tcW w:type="dxa" w:w="2160"/>
          </w:tcPr>
          <w:p>
            <w:r>
              <w:t>Pure statistical reporting — no normative framing.</w:t>
            </w:r>
          </w:p>
        </w:tc>
      </w:tr>
      <w:tr>
        <w:tc>
          <w:tcPr>
            <w:tcW w:type="dxa" w:w="2160"/>
          </w:tcPr>
          <w:p>
            <w:r>
              <w:t>NEUTRAL</w:t>
            </w:r>
          </w:p>
        </w:tc>
        <w:tc>
          <w:tcPr>
            <w:tcW w:type="dxa" w:w="2160"/>
          </w:tcPr>
          <w:p>
            <w:r>
              <w:t>Health</w:t>
            </w:r>
          </w:p>
        </w:tc>
        <w:tc>
          <w:tcPr>
            <w:tcW w:type="dxa" w:w="2160"/>
          </w:tcPr>
          <w:p>
            <w:r>
              <w:t>"A new study finds that residents of rural counties have higher rates of diabetes and heart disease than urban residents."</w:t>
            </w:r>
          </w:p>
        </w:tc>
        <w:tc>
          <w:tcPr>
            <w:tcW w:type="dxa" w:w="2160"/>
          </w:tcPr>
          <w:p>
            <w:r>
              <w:t>Descriptive epidemiological finding; no stance on causes or solutions.</w:t>
            </w:r>
          </w:p>
        </w:tc>
      </w:tr>
    </w:tbl>
    <w:p/>
    <w:p>
      <w:pPr>
        <w:pStyle w:val="Heading1"/>
      </w:pPr>
      <w:r>
        <w:rPr>
          <w:color w:val="1A237E"/>
        </w:rPr>
        <w:t>6. Automated Classification Pipeline</w:t>
      </w:r>
    </w:p>
    <w:p>
      <w:r>
        <w:t>Classifications are performed by large language models (LLMs) using the prompt defined in EqualityClassifier.ipynb. Three free-tier models are used: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2160"/>
          </w:tcPr>
          <w:p>
            <w:r>
              <w:rPr>
                <w:b/>
              </w:rPr>
              <w:t>Model</w:t>
            </w:r>
          </w:p>
        </w:tc>
        <w:tc>
          <w:tcPr>
            <w:tcW w:type="dxa" w:w="2160"/>
          </w:tcPr>
          <w:p>
            <w:r>
              <w:rPr>
                <w:b/>
              </w:rPr>
              <w:t>Provider</w:t>
            </w:r>
          </w:p>
        </w:tc>
        <w:tc>
          <w:tcPr>
            <w:tcW w:type="dxa" w:w="2160"/>
          </w:tcPr>
          <w:p>
            <w:r>
              <w:rPr>
                <w:b/>
              </w:rPr>
              <w:t>API</w:t>
            </w:r>
          </w:p>
        </w:tc>
      </w:tr>
      <w:tr>
        <w:tc>
          <w:tcPr>
            <w:tcW w:type="dxa" w:w="2160"/>
          </w:tcPr>
          <w:p>
            <w:r>
              <w:t>Primary (500 k texts)</w:t>
            </w:r>
          </w:p>
        </w:tc>
        <w:tc>
          <w:tcPr>
            <w:tcW w:type="dxa" w:w="2160"/>
          </w:tcPr>
          <w:p>
            <w:r>
              <w:t>Llama-3.3-70B-Versatile</w:t>
            </w:r>
          </w:p>
        </w:tc>
        <w:tc>
          <w:tcPr>
            <w:tcW w:type="dxa" w:w="2160"/>
          </w:tcPr>
          <w:p>
            <w:r>
              <w:t>Groq</w:t>
            </w:r>
          </w:p>
        </w:tc>
        <w:tc>
          <w:tcPr>
            <w:tcW w:type="dxa" w:w="2160"/>
          </w:tcPr>
          <w:p>
            <w:r>
              <w:t>console.groq.com</w:t>
            </w:r>
          </w:p>
        </w:tc>
      </w:tr>
      <w:tr>
        <w:tc>
          <w:tcPr>
            <w:tcW w:type="dxa" w:w="2160"/>
          </w:tcPr>
          <w:p>
            <w:r>
              <w:t>Cross-val model 2</w:t>
            </w:r>
          </w:p>
        </w:tc>
        <w:tc>
          <w:tcPr>
            <w:tcW w:type="dxa" w:w="2160"/>
          </w:tcPr>
          <w:p>
            <w:r>
              <w:t>Gemini 2.0 Flash Lite</w:t>
            </w:r>
          </w:p>
        </w:tc>
        <w:tc>
          <w:tcPr>
            <w:tcW w:type="dxa" w:w="2160"/>
          </w:tcPr>
          <w:p>
            <w:r>
              <w:t>Google AI Studio</w:t>
            </w:r>
          </w:p>
        </w:tc>
        <w:tc>
          <w:tcPr>
            <w:tcW w:type="dxa" w:w="2160"/>
          </w:tcPr>
          <w:p>
            <w:r>
              <w:t>aistudio.google.com</w:t>
            </w:r>
          </w:p>
        </w:tc>
      </w:tr>
      <w:tr>
        <w:tc>
          <w:tcPr>
            <w:tcW w:type="dxa" w:w="2160"/>
          </w:tcPr>
          <w:p>
            <w:r>
              <w:t>Cross-val model 3</w:t>
            </w:r>
          </w:p>
        </w:tc>
        <w:tc>
          <w:tcPr>
            <w:tcW w:type="dxa" w:w="2160"/>
          </w:tcPr>
          <w:p>
            <w:r>
              <w:t>Llama-3.3-70B-Instruct:free</w:t>
            </w:r>
          </w:p>
        </w:tc>
        <w:tc>
          <w:tcPr>
            <w:tcW w:type="dxa" w:w="2160"/>
          </w:tcPr>
          <w:p>
            <w:r>
              <w:t>OpenRouter</w:t>
            </w:r>
          </w:p>
        </w:tc>
        <w:tc>
          <w:tcPr>
            <w:tcW w:type="dxa" w:w="2160"/>
          </w:tcPr>
          <w:p>
            <w:r>
              <w:t>openrouter.ai</w:t>
            </w:r>
          </w:p>
        </w:tc>
      </w:tr>
    </w:tbl>
    <w:p/>
    <w:p>
      <w:pPr>
        <w:pStyle w:val="Heading2"/>
      </w:pPr>
      <w:r>
        <w:rPr>
          <w:color w:val="283C93"/>
        </w:rPr>
        <w:t>6.1  Primary Classification</w:t>
      </w:r>
    </w:p>
    <w:p>
      <w:r>
        <w:t>All unique texts across all four dimensions are classified by the primary model in a single pass. The prompt is dimension-agnostic: it covers income/wealth, gender, education, and health inequality without requiring separate runs per dimension. Async batching (batch=20) with parquet checkpoints every 5 000 texts ensures the run is resumable across multiple Colab sessions.</w:t>
      </w:r>
    </w:p>
    <w:p>
      <w:pPr>
        <w:pStyle w:val="Heading2"/>
      </w:pPr>
      <w:r>
        <w:rPr>
          <w:color w:val="283C93"/>
        </w:rPr>
        <w:t>6.2  Cross-Validation</w:t>
      </w:r>
    </w:p>
    <w:p>
      <w:r>
        <w:t>A stratified sample of up to 500 texts per label category (1 500 total) is classified by all three models. Cohen’s κ is reported both overall and per dimension. Thresholds: κ≥0.81=almost perfect; 0.61–0.80=substantial; 0.41–0.60=moderate; &lt;0.41=low.</w:t>
      </w:r>
    </w:p>
    <w:p>
      <w:pPr>
        <w:pStyle w:val="Heading2"/>
      </w:pPr>
      <w:r>
        <w:rPr>
          <w:color w:val="283C93"/>
        </w:rPr>
        <w:t>6.3  Text Preprocessing</w:t>
      </w:r>
    </w:p>
    <w:p>
      <w:pPr>
        <w:pStyle w:val="ListBullet"/>
      </w:pPr>
      <w:r>
        <w:t>HTML entity unescaping and URL removal.</w:t>
      </w:r>
    </w:p>
    <w:p>
      <w:pPr>
        <w:pStyle w:val="ListBullet"/>
      </w:pPr>
      <w:r>
        <w:t>Unicode NFKC normalisation and control-character stripping.</w:t>
      </w:r>
    </w:p>
    <w:p>
      <w:pPr>
        <w:pStyle w:val="ListBullet"/>
      </w:pPr>
      <w:r>
        <w:t>Length filter: minimum 50 characters.</w:t>
      </w:r>
    </w:p>
    <w:p>
      <w:pPr>
        <w:pStyle w:val="ListBullet"/>
      </w:pPr>
      <w:r>
        <w:t>Sentence-boundary truncation at 1 200 characters (~300 words).</w:t>
      </w:r>
    </w:p>
    <w:p>
      <w:pPr>
        <w:pStyle w:val="ListBullet"/>
      </w:pPr>
      <w:r>
        <w:t>Deduplication: exact ID duplicates and content-hash duplicates removed.</w:t>
      </w:r>
    </w:p>
    <w:p>
      <w:pPr>
        <w:pStyle w:val="ListBullet"/>
      </w:pPr>
      <w:r>
        <w:t>Country standardisation: country codes us1–us5 normalised to “us”.</w:t>
      </w:r>
    </w:p>
    <w:p>
      <w:pPr>
        <w:pStyle w:val="Heading2"/>
      </w:pPr>
      <w:r>
        <w:rPr>
          <w:color w:val="283C93"/>
        </w:rPr>
        <w:t>6.4  Dimension-Stratified Analysis</w:t>
      </w:r>
    </w:p>
    <w:p>
      <w:r>
        <w:t>After classification, results are broken down by the "dimension" column. The pipeline produces:</w:t>
      </w:r>
    </w:p>
    <w:p>
      <w:pPr>
        <w:pStyle w:val="ListBullet"/>
      </w:pPr>
      <w:r>
        <w:t>Label distribution per dimension (bar charts saved to checkpoint directory).</w:t>
      </w:r>
    </w:p>
    <w:p>
      <w:pPr>
        <w:pStyle w:val="ListBullet"/>
      </w:pPr>
      <w:r>
        <w:t>Per-dimension Cohen’s κ in the cross-validation report.</w:t>
      </w:r>
    </w:p>
    <w:p>
      <w:pPr>
        <w:pStyle w:val="ListBullet"/>
      </w:pPr>
      <w:r>
        <w:t>Final parquet output includes dimension and country columns for downstream filtering.</w:t>
      </w:r>
    </w:p>
    <w:p/>
    <w:p>
      <w:pPr>
        <w:pStyle w:val="Heading1"/>
      </w:pPr>
      <w:r>
        <w:rPr>
          <w:color w:val="1A237E"/>
        </w:rPr>
        <w:t>7. Theoretical Basis</w:t>
      </w:r>
    </w:p>
    <w:tbl>
      <w:tblPr>
        <w:tblStyle w:val="TableGrid"/>
        <w:tblW w:type="auto" w:w="0"/>
        <w:tblLook w:firstColumn="1" w:firstRow="1" w:lastColumn="0" w:lastRow="0" w:noHBand="0" w:noVBand="1" w:val="04A0"/>
      </w:tblPr>
      <w:tblGrid>
        <w:gridCol w:w="4320"/>
        <w:gridCol w:w="4320"/>
      </w:tblGrid>
      <w:tr>
        <w:tc>
          <w:tcPr>
            <w:tcW w:type="dxa" w:w="4320"/>
          </w:tcPr>
          <w:p>
            <w:r>
              <w:rPr>
                <w:b/>
              </w:rPr>
              <w:t>Reference</w:t>
            </w:r>
          </w:p>
        </w:tc>
        <w:tc>
          <w:tcPr>
            <w:tcW w:type="dxa" w:w="4320"/>
          </w:tcPr>
          <w:p>
            <w:r>
              <w:rPr>
                <w:b/>
              </w:rPr>
              <w:t>Relevance</w:t>
            </w:r>
          </w:p>
        </w:tc>
      </w:tr>
      <w:tr>
        <w:tc>
          <w:tcPr>
            <w:tcW w:type="dxa" w:w="4320"/>
          </w:tcPr>
          <w:p>
            <w:r>
              <w:t>Shiller (2017, 2019)</w:t>
            </w:r>
          </w:p>
        </w:tc>
        <w:tc>
          <w:tcPr>
            <w:tcW w:type="dxa" w:w="4320"/>
          </w:tcPr>
          <w:p>
            <w:r>
              <w:t>Narratives as contagious objects — justifies studying diffusion of equality frames across dimensions.</w:t>
            </w:r>
          </w:p>
        </w:tc>
      </w:tr>
      <w:tr>
        <w:tc>
          <w:tcPr>
            <w:tcW w:type="dxa" w:w="4320"/>
          </w:tcPr>
          <w:p>
            <w:r>
              <w:t>Eliaz &amp; Spiegler (2020)</w:t>
            </w:r>
          </w:p>
        </w:tc>
        <w:tc>
          <w:tcPr>
            <w:tcW w:type="dxa" w:w="4320"/>
          </w:tcPr>
          <w:p>
            <w:r>
              <w:t>Narratives as competing causal models — the exact basis for our stance definition.</w:t>
            </w:r>
          </w:p>
        </w:tc>
      </w:tr>
      <w:tr>
        <w:tc>
          <w:tcPr>
            <w:tcW w:type="dxa" w:w="4320"/>
          </w:tcPr>
          <w:p>
            <w:r>
              <w:t>Culpepper et al. (2024)</w:t>
            </w:r>
          </w:p>
        </w:tc>
        <w:tc>
          <w:tcPr>
            <w:tcW w:type="dxa" w:w="4320"/>
          </w:tcPr>
          <w:p>
            <w:r>
              <w:t>Meritocracy vs. system-rigged frames — maps onto PRO/ANTI_EQUALITY for income and gender.</w:t>
            </w:r>
          </w:p>
        </w:tc>
      </w:tr>
      <w:tr>
        <w:tc>
          <w:tcPr>
            <w:tcW w:type="dxa" w:w="4320"/>
          </w:tcPr>
          <w:p>
            <w:r>
              <w:t>Lukes (2005)</w:t>
            </w:r>
          </w:p>
        </w:tc>
        <w:tc>
          <w:tcPr>
            <w:tcW w:type="dxa" w:w="4320"/>
          </w:tcPr>
          <w:p>
            <w:r>
              <w:t>Three dimensions of power — useful for identifying implicit vs. explicit normative frames.</w:t>
            </w:r>
          </w:p>
        </w:tc>
      </w:tr>
    </w:tbl>
    <w:p/>
    <w:p>
      <w:pPr>
        <w:pStyle w:val="Heading1"/>
      </w:pPr>
      <w:r>
        <w:rPr>
          <w:color w:val="1A237E"/>
        </w:rPr>
        <w:t>8. Mapping from the Previous Four-Category Scheme</w:t>
      </w:r>
    </w:p>
    <w:p>
      <w:r>
        <w:t>This manual supersedes the four-category scheme (Redistribution, Meritocracy, Equal Opportunities, Fairness/Natural Inequality), which covered income/wealth only. Key changes: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Previous</w:t>
            </w:r>
          </w:p>
        </w:tc>
        <w:tc>
          <w:tcPr>
            <w:tcW w:type="dxa" w:w="2880"/>
          </w:tcPr>
          <w:p>
            <w:r>
              <w:rPr>
                <w:b/>
              </w:rPr>
              <w:t>New</w:t>
            </w:r>
          </w:p>
        </w:tc>
      </w:tr>
      <w:tr>
        <w:tc>
          <w:tcPr>
            <w:tcW w:type="dxa" w:w="2880"/>
          </w:tcPr>
          <w:p>
            <w:r>
              <w:t>Categories</w:t>
            </w:r>
          </w:p>
        </w:tc>
        <w:tc>
          <w:tcPr>
            <w:tcW w:type="dxa" w:w="2880"/>
          </w:tcPr>
          <w:p>
            <w:r>
              <w:t>4 continuous-score narratives</w:t>
            </w:r>
          </w:p>
        </w:tc>
        <w:tc>
          <w:tcPr>
            <w:tcW w:type="dxa" w:w="2880"/>
          </w:tcPr>
          <w:p>
            <w:r>
              <w:t>3 categorical labels (hard + confidence)</w:t>
            </w:r>
          </w:p>
        </w:tc>
      </w:tr>
      <w:tr>
        <w:tc>
          <w:tcPr>
            <w:tcW w:type="dxa" w:w="2880"/>
          </w:tcPr>
          <w:p>
            <w:r>
              <w:t>Redistribution Narrative</w:t>
            </w:r>
          </w:p>
        </w:tc>
        <w:tc>
          <w:tcPr>
            <w:tcW w:type="dxa" w:w="2880"/>
          </w:tcPr>
          <w:p>
            <w:r>
              <w:t>→</w:t>
            </w:r>
          </w:p>
        </w:tc>
        <w:tc>
          <w:tcPr>
            <w:tcW w:type="dxa" w:w="2880"/>
          </w:tcPr>
          <w:p>
            <w:r>
              <w:t>PRO_EQUALITY</w:t>
            </w:r>
          </w:p>
        </w:tc>
      </w:tr>
      <w:tr>
        <w:tc>
          <w:tcPr>
            <w:tcW w:type="dxa" w:w="2880"/>
          </w:tcPr>
          <w:p>
            <w:r>
              <w:t>Equal Opportunities Narrative</w:t>
            </w:r>
          </w:p>
        </w:tc>
        <w:tc>
          <w:tcPr>
            <w:tcW w:type="dxa" w:w="2880"/>
          </w:tcPr>
          <w:p>
            <w:r>
              <w:t>→</w:t>
            </w:r>
          </w:p>
        </w:tc>
        <w:tc>
          <w:tcPr>
            <w:tcW w:type="dxa" w:w="2880"/>
          </w:tcPr>
          <w:p>
            <w:r>
              <w:t>PRO_EQUALITY</w:t>
            </w:r>
          </w:p>
        </w:tc>
      </w:tr>
      <w:tr>
        <w:tc>
          <w:tcPr>
            <w:tcW w:type="dxa" w:w="2880"/>
          </w:tcPr>
          <w:p>
            <w:r>
              <w:t>Meritocracy Narrative</w:t>
            </w:r>
          </w:p>
        </w:tc>
        <w:tc>
          <w:tcPr>
            <w:tcW w:type="dxa" w:w="2880"/>
          </w:tcPr>
          <w:p>
            <w:r>
              <w:t>→</w:t>
            </w:r>
          </w:p>
        </w:tc>
        <w:tc>
          <w:tcPr>
            <w:tcW w:type="dxa" w:w="2880"/>
          </w:tcPr>
          <w:p>
            <w:r>
              <w:t>ANTI_EQUALITY</w:t>
            </w:r>
          </w:p>
        </w:tc>
      </w:tr>
      <w:tr>
        <w:tc>
          <w:tcPr>
            <w:tcW w:type="dxa" w:w="2880"/>
          </w:tcPr>
          <w:p>
            <w:r>
              <w:t>Fairness / Natural Inequality</w:t>
            </w:r>
          </w:p>
        </w:tc>
        <w:tc>
          <w:tcPr>
            <w:tcW w:type="dxa" w:w="2880"/>
          </w:tcPr>
          <w:p>
            <w:r>
              <w:t>→</w:t>
            </w:r>
          </w:p>
        </w:tc>
        <w:tc>
          <w:tcPr>
            <w:tcW w:type="dxa" w:w="2880"/>
          </w:tcPr>
          <w:p>
            <w:r>
              <w:t>ANTI_EQUALITY</w:t>
            </w:r>
          </w:p>
        </w:tc>
      </w:tr>
      <w:tr>
        <w:tc>
          <w:tcPr>
            <w:tcW w:type="dxa" w:w="2880"/>
          </w:tcPr>
          <w:p>
            <w:r>
              <w:t>(no equivalent)</w:t>
            </w:r>
          </w:p>
        </w:tc>
        <w:tc>
          <w:tcPr>
            <w:tcW w:type="dxa" w:w="2880"/>
          </w:tcPr>
          <w:p>
            <w:r>
              <w:t>→</w:t>
            </w:r>
          </w:p>
        </w:tc>
        <w:tc>
          <w:tcPr>
            <w:tcW w:type="dxa" w:w="2880"/>
          </w:tcPr>
          <w:p>
            <w:r>
              <w:t>NEUTRAL (new residual)</w:t>
            </w:r>
          </w:p>
        </w:tc>
      </w:tr>
      <w:tr>
        <w:tc>
          <w:tcPr>
            <w:tcW w:type="dxa" w:w="2880"/>
          </w:tcPr>
          <w:p>
            <w:r>
              <w:t>Scope</w:t>
            </w:r>
          </w:p>
        </w:tc>
        <w:tc>
          <w:tcPr>
            <w:tcW w:type="dxa" w:w="2880"/>
          </w:tcPr>
          <w:p>
            <w:r>
              <w:t>Income / wealth only</w:t>
            </w:r>
          </w:p>
        </w:tc>
        <w:tc>
          <w:tcPr>
            <w:tcW w:type="dxa" w:w="2880"/>
          </w:tcPr>
          <w:p>
            <w:r>
              <w:t>Income/wealth + gender + education + health</w:t>
            </w:r>
          </w:p>
        </w:tc>
      </w:tr>
      <w:tr>
        <w:tc>
          <w:tcPr>
            <w:tcW w:type="dxa" w:w="2880"/>
          </w:tcPr>
          <w:p>
            <w:r>
              <w:t>Country field</w:t>
            </w:r>
          </w:p>
        </w:tc>
        <w:tc>
          <w:tcPr>
            <w:tcW w:type="dxa" w:w="2880"/>
          </w:tcPr>
          <w:p>
            <w:r>
              <w:t>us1–us5 (raw)</w:t>
            </w:r>
          </w:p>
        </w:tc>
        <w:tc>
          <w:tcPr>
            <w:tcW w:type="dxa" w:w="2880"/>
          </w:tcPr>
          <w:p>
            <w:r>
              <w:t>us (standardised)</w:t>
            </w:r>
          </w:p>
        </w:tc>
      </w:tr>
      <w:tr>
        <w:tc>
          <w:tcPr>
            <w:tcW w:type="dxa" w:w="2880"/>
          </w:tcPr>
          <w:p>
            <w:r>
              <w:t>Throughput</w:t>
            </w:r>
          </w:p>
        </w:tc>
        <w:tc>
          <w:tcPr>
            <w:tcW w:type="dxa" w:w="2880"/>
          </w:tcPr>
          <w:p>
            <w:r>
              <w:t>Slower (4 scores per text)</w:t>
            </w:r>
          </w:p>
        </w:tc>
        <w:tc>
          <w:tcPr>
            <w:tcW w:type="dxa" w:w="2880"/>
          </w:tcPr>
          <w:p>
            <w:r>
              <w:t>~2× faster (1 label per text)</w:t>
            </w:r>
          </w:p>
        </w:tc>
      </w:tr>
    </w:tbl>
    <w:p/>
    <w:p>
      <w:r>
        <w:rPr>
          <w:i/>
          <w:color w:val="555555"/>
        </w:rPr>
        <w:t>The scope expansion to gender, education, and health inequality does not require separate classification runs. The dimension column in the dataset carries that information; post-hoc dimension-stratified analysis is done after a single classification pass.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