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E34CCE" w14:textId="77777777" w:rsidR="00000000" w:rsidRDefault="00000000">
      <w:pPr>
        <w:spacing w:after="60"/>
        <w:jc w:val="center"/>
      </w:pPr>
      <w:r>
        <w:rPr>
          <w:b/>
          <w:color w:val="1F2D6E"/>
          <w:sz w:val="36"/>
        </w:rPr>
        <w:t>Narrative Measurement Framework</w:t>
      </w:r>
    </w:p>
    <w:p w14:paraId="470652CD" w14:textId="77777777" w:rsidR="00000000" w:rsidRDefault="00000000">
      <w:pPr>
        <w:spacing w:after="280"/>
        <w:jc w:val="center"/>
      </w:pPr>
      <w:r>
        <w:rPr>
          <w:color w:val="555577"/>
        </w:rPr>
        <w:t>Inequality Narratives in the Media — Aggregation, Weighting, and Penetration</w:t>
      </w:r>
    </w:p>
    <w:p w14:paraId="58A365C0" w14:textId="77777777" w:rsidR="00000000" w:rsidRDefault="00000000">
      <w:pPr>
        <w:pBdr>
          <w:bottom w:val="single" w:sz="6" w:space="1" w:color="AAAACC"/>
        </w:pBdr>
        <w:spacing w:after="80"/>
      </w:pPr>
    </w:p>
    <w:p w14:paraId="0F836A71" w14:textId="77777777" w:rsidR="00000000" w:rsidRDefault="00000000">
      <w:pPr>
        <w:spacing w:after="80"/>
      </w:pPr>
    </w:p>
    <w:p w14:paraId="3F9735E9" w14:textId="77777777" w:rsidR="00000000" w:rsidRDefault="00000000">
      <w:pPr>
        <w:pStyle w:val="Heading1"/>
      </w:pPr>
      <w:r>
        <w:t>Overview</w:t>
      </w:r>
    </w:p>
    <w:p w14:paraId="26FC02B7" w14:textId="77777777" w:rsidR="00000000" w:rsidRDefault="00000000">
      <w:pPr>
        <w:spacing w:after="100"/>
      </w:pPr>
      <w:r>
        <w:t>Each sentence in the corpus is scored by the LLM on a 0–1 scale for each of four inequality-related narrative categories: redistribution, fairness, equal opportunities, and meritocracy. Two classification schemes are constructed from these scores:</w:t>
      </w:r>
    </w:p>
    <w:p w14:paraId="2D00DC81" w14:textId="77777777" w:rsidR="00000000" w:rsidRDefault="00000000">
      <w:pPr>
        <w:pStyle w:val="ListBullet"/>
      </w:pPr>
      <w:r>
        <w:rPr>
          <w:b/>
        </w:rPr>
        <w:t xml:space="preserve">Restrictive — </w:t>
      </w:r>
      <w:r>
        <w:t>only the highest-scoring narrative is assigned to the sentence.</w:t>
      </w:r>
    </w:p>
    <w:p w14:paraId="15181948" w14:textId="77777777" w:rsidR="00000000" w:rsidRDefault="00000000">
      <w:pPr>
        <w:pStyle w:val="ListBullet"/>
      </w:pPr>
      <w:r>
        <w:rPr>
          <w:b/>
        </w:rPr>
        <w:t xml:space="preserve">Permissive — </w:t>
      </w:r>
      <w:r>
        <w:t>all narratives with a score above zero are assigned to the sentence.</w:t>
      </w:r>
    </w:p>
    <w:p w14:paraId="588E9F85" w14:textId="77777777" w:rsidR="00000000" w:rsidRDefault="00000000">
      <w:r>
        <w:t>Both schemes produce, for every sentence, a set of narrative labels. The pipeline below aggregates these labels to the country-month level, weighting outlets by readership and publication volume.</w:t>
      </w:r>
    </w:p>
    <w:p w14:paraId="728A8C47" w14:textId="77777777" w:rsidR="00000000" w:rsidRDefault="00000000">
      <w:pPr>
        <w:pStyle w:val="Heading1"/>
      </w:pPr>
      <w:r>
        <w:t>Notation</w:t>
      </w:r>
    </w:p>
    <w:tbl>
      <w:tblPr>
        <w:tblW w:w="9360" w:type="dxa"/>
        <w:tblBorders>
          <w:top w:val="single" w:sz="4" w:space="0" w:color="AAAACC"/>
          <w:bottom w:val="single" w:sz="4" w:space="0" w:color="AAAACC"/>
          <w:insideH w:val="single" w:sz="2" w:space="0" w:color="DDDD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24803" w14:paraId="130CC6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8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46D43" w14:textId="77777777" w:rsidR="00000000" w:rsidRDefault="00000000">
            <w:r>
              <w:rPr>
                <w:b/>
              </w:rPr>
              <w:t>Symbol</w:t>
            </w:r>
          </w:p>
        </w:tc>
        <w:tc>
          <w:tcPr>
            <w:tcW w:w="7560" w:type="dxa"/>
            <w:shd w:val="clear" w:color="auto" w:fill="E8E8F5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E508BB8" w14:textId="77777777" w:rsidR="00000000" w:rsidRDefault="00000000">
            <w:r>
              <w:rPr>
                <w:b/>
              </w:rPr>
              <w:t>Definition</w:t>
            </w:r>
          </w:p>
        </w:tc>
      </w:tr>
      <w:tr w:rsidR="00124803" w14:paraId="550B38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2" w:space="0" w:color="DDDDEE"/>
            </w:tcBorders>
            <w:shd w:val="clear" w:color="auto" w:fill="F5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00AC7" w14:textId="77777777" w:rsidR="00000000" w:rsidRDefault="00000000"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7560" w:type="dxa"/>
            <w:tcBorders>
              <w:bottom w:val="single" w:sz="2" w:space="0" w:color="DDDDEE"/>
            </w:tcBorders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44A64D6" w14:textId="77777777" w:rsidR="00000000" w:rsidRDefault="00000000">
            <w:r>
              <w:t>news outlet (domain)</w:t>
            </w:r>
          </w:p>
        </w:tc>
      </w:tr>
      <w:tr w:rsidR="00124803" w14:paraId="040CAF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2" w:space="0" w:color="DDDDEE"/>
            </w:tcBorders>
            <w:shd w:val="clear" w:color="auto" w:fill="F5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05471" w14:textId="77777777" w:rsidR="00000000" w:rsidRDefault="00000000">
            <m:oMathPara>
              <m:oMath>
                <m:r>
                  <w:rPr>
                    <w:rFonts w:ascii="Cambria Math" w:hAnsi="Cambria Math"/>
                  </w:rPr>
                  <m:t>o</m:t>
                </m:r>
              </m:oMath>
            </m:oMathPara>
          </w:p>
        </w:tc>
        <w:tc>
          <w:tcPr>
            <w:tcW w:w="7560" w:type="dxa"/>
            <w:tcBorders>
              <w:bottom w:val="single" w:sz="2" w:space="0" w:color="DDDDEE"/>
            </w:tcBorders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7E043FB3" w14:textId="77777777" w:rsidR="00000000" w:rsidRDefault="00000000">
            <w:r>
              <w:t>outlet owner group</w:t>
            </w:r>
          </w:p>
        </w:tc>
      </w:tr>
      <w:tr w:rsidR="00124803" w14:paraId="1CB2BF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2" w:space="0" w:color="DDDDEE"/>
            </w:tcBorders>
            <w:shd w:val="clear" w:color="auto" w:fill="F5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C7321" w14:textId="77777777" w:rsidR="00000000" w:rsidRDefault="00000000"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7560" w:type="dxa"/>
            <w:tcBorders>
              <w:bottom w:val="single" w:sz="2" w:space="0" w:color="DDDDEE"/>
            </w:tcBorders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73C9B85D" w14:textId="77777777" w:rsidR="00000000" w:rsidRDefault="00000000">
            <w:r>
              <w:t>country</w:t>
            </w:r>
          </w:p>
        </w:tc>
      </w:tr>
      <w:tr w:rsidR="00124803" w14:paraId="4D845F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2" w:space="0" w:color="DDDDEE"/>
            </w:tcBorders>
            <w:shd w:val="clear" w:color="auto" w:fill="F5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894A1" w14:textId="77777777" w:rsidR="00000000" w:rsidRDefault="00000000"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7560" w:type="dxa"/>
            <w:tcBorders>
              <w:bottom w:val="single" w:sz="2" w:space="0" w:color="DDDDEE"/>
            </w:tcBorders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7CEA8F32" w14:textId="77777777" w:rsidR="00000000" w:rsidRDefault="00000000">
            <w:r>
              <w:t>month</w:t>
            </w:r>
          </w:p>
        </w:tc>
      </w:tr>
      <w:tr w:rsidR="00124803" w14:paraId="0822BC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2" w:space="0" w:color="DDDDEE"/>
            </w:tcBorders>
            <w:shd w:val="clear" w:color="auto" w:fill="F5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1D3AC" w14:textId="77777777" w:rsidR="00000000" w:rsidRDefault="00000000">
            <m:oMathPara>
              <m:oMath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  <w:tc>
          <w:tcPr>
            <w:tcW w:w="7560" w:type="dxa"/>
            <w:tcBorders>
              <w:bottom w:val="single" w:sz="2" w:space="0" w:color="DDDDEE"/>
            </w:tcBorders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0326392" w14:textId="77777777" w:rsidR="00000000" w:rsidRDefault="00000000">
            <w:r>
              <w:t>text / article</w:t>
            </w:r>
          </w:p>
        </w:tc>
      </w:tr>
      <w:tr w:rsidR="00124803" w14:paraId="02D018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2" w:space="0" w:color="DDDDEE"/>
            </w:tcBorders>
            <w:shd w:val="clear" w:color="auto" w:fill="F5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5C4D3" w14:textId="77777777" w:rsidR="00000000" w:rsidRDefault="00000000"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7560" w:type="dxa"/>
            <w:tcBorders>
              <w:bottom w:val="single" w:sz="2" w:space="0" w:color="DDDDEE"/>
            </w:tcBorders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7AC94AB" w14:textId="77777777" w:rsidR="00000000" w:rsidRDefault="00000000">
            <w:r>
              <w:t>narrative category: redistribution, fairness, equal opportunities, meritocracy</w:t>
            </w:r>
          </w:p>
        </w:tc>
      </w:tr>
      <w:tr w:rsidR="00124803" w14:paraId="40A863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2" w:space="0" w:color="DDDDEE"/>
            </w:tcBorders>
            <w:shd w:val="clear" w:color="auto" w:fill="F5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B7894" w14:textId="77777777" w:rsidR="00000000" w:rsidRDefault="00000000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idct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bSup>
              </m:oMath>
            </m:oMathPara>
          </w:p>
        </w:tc>
        <w:tc>
          <w:tcPr>
            <w:tcW w:w="7560" w:type="dxa"/>
            <w:tcBorders>
              <w:bottom w:val="single" w:sz="2" w:space="0" w:color="DDDDEE"/>
            </w:tcBorders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E5D6995" w14:textId="77777777" w:rsidR="00000000" w:rsidRDefault="00000000">
            <w:r>
              <w:t>number of narrative-k sentences in article i (outlet d, country c, month t)</w:t>
            </w:r>
          </w:p>
        </w:tc>
      </w:tr>
      <w:tr w:rsidR="00124803" w14:paraId="6B7E9D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2" w:space="0" w:color="DDDDEE"/>
            </w:tcBorders>
            <w:shd w:val="clear" w:color="auto" w:fill="F5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35BB3" w14:textId="77777777" w:rsidR="00000000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idct</m:t>
                    </m:r>
                  </m:sub>
                </m:sSub>
              </m:oMath>
            </m:oMathPara>
          </w:p>
        </w:tc>
        <w:tc>
          <w:tcPr>
            <w:tcW w:w="7560" w:type="dxa"/>
            <w:tcBorders>
              <w:bottom w:val="single" w:sz="2" w:space="0" w:color="DDDDEE"/>
            </w:tcBorders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1119B47" w14:textId="77777777" w:rsidR="00000000" w:rsidRDefault="00000000">
            <w:r>
              <w:t>number of inequality-related sentences in article i</w:t>
            </w:r>
          </w:p>
        </w:tc>
      </w:tr>
      <w:tr w:rsidR="00124803" w14:paraId="29D70B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2" w:space="0" w:color="DDDDEE"/>
            </w:tcBorders>
            <w:shd w:val="clear" w:color="auto" w:fill="F5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005BD" w14:textId="77777777" w:rsidR="00000000" w:rsidRDefault="00000000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dct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bSup>
              </m:oMath>
            </m:oMathPara>
          </w:p>
        </w:tc>
        <w:tc>
          <w:tcPr>
            <w:tcW w:w="7560" w:type="dxa"/>
            <w:tcBorders>
              <w:bottom w:val="single" w:sz="2" w:space="0" w:color="DDDDEE"/>
            </w:tcBorders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B990EBC" w14:textId="77777777" w:rsidR="00000000" w:rsidRDefault="00000000">
            <w:r>
              <w:t>total narrative-k sentences for outlet d in country c, month t</w:t>
            </w:r>
          </w:p>
        </w:tc>
      </w:tr>
      <w:tr w:rsidR="00124803" w14:paraId="2E0793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2" w:space="0" w:color="DDDDEE"/>
            </w:tcBorders>
            <w:shd w:val="clear" w:color="auto" w:fill="F5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11919" w14:textId="77777777" w:rsidR="00000000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dct</m:t>
                    </m:r>
                  </m:sub>
                </m:sSub>
              </m:oMath>
            </m:oMathPara>
          </w:p>
        </w:tc>
        <w:tc>
          <w:tcPr>
            <w:tcW w:w="7560" w:type="dxa"/>
            <w:tcBorders>
              <w:bottom w:val="single" w:sz="2" w:space="0" w:color="DDDDEE"/>
            </w:tcBorders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B8CA7A1" w14:textId="77777777" w:rsidR="00000000" w:rsidRDefault="00000000">
            <w:r>
              <w:t>total inequality-related sentences for outlet d in country c, month t</w:t>
            </w:r>
          </w:p>
        </w:tc>
      </w:tr>
      <w:tr w:rsidR="00124803" w14:paraId="4EE195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2" w:space="0" w:color="DDDDEE"/>
            </w:tcBorders>
            <w:shd w:val="clear" w:color="auto" w:fill="F5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9985A" w14:textId="77777777" w:rsidR="00000000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dct</m:t>
                    </m:r>
                  </m:sub>
                </m:sSub>
              </m:oMath>
            </m:oMathPara>
          </w:p>
        </w:tc>
        <w:tc>
          <w:tcPr>
            <w:tcW w:w="7560" w:type="dxa"/>
            <w:tcBorders>
              <w:bottom w:val="single" w:sz="2" w:space="0" w:color="DDDDEE"/>
            </w:tcBorders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4C46B02D" w14:textId="77777777" w:rsidR="00000000" w:rsidRDefault="00000000">
            <w:r>
              <w:t>total sentences published by outlet d — all topics (country c, month t)</w:t>
            </w:r>
          </w:p>
        </w:tc>
      </w:tr>
      <w:tr w:rsidR="00124803" w14:paraId="570188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2" w:space="0" w:color="DDDDEE"/>
            </w:tcBorders>
            <w:shd w:val="clear" w:color="auto" w:fill="F5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C5459" w14:textId="77777777" w:rsidR="00000000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dct</m:t>
                    </m:r>
                  </m:sub>
                </m:sSub>
              </m:oMath>
            </m:oMathPara>
          </w:p>
        </w:tc>
        <w:tc>
          <w:tcPr>
            <w:tcW w:w="7560" w:type="dxa"/>
            <w:tcBorders>
              <w:bottom w:val="single" w:sz="2" w:space="0" w:color="DDDDEE"/>
            </w:tcBorders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2ACB752" w14:textId="77777777" w:rsidR="00000000" w:rsidRDefault="00000000">
            <w:r>
              <w:t>total articles published by outlet d (country c, month t)</w:t>
            </w:r>
          </w:p>
        </w:tc>
      </w:tr>
      <w:tr w:rsidR="00124803" w14:paraId="3DB470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2" w:space="0" w:color="DDDDEE"/>
            </w:tcBorders>
            <w:shd w:val="clear" w:color="auto" w:fill="F5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3DED3" w14:textId="77777777" w:rsidR="00000000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dc</m:t>
                    </m:r>
                  </m:sub>
                </m:sSub>
              </m:oMath>
            </m:oMathPara>
          </w:p>
        </w:tc>
        <w:tc>
          <w:tcPr>
            <w:tcW w:w="7560" w:type="dxa"/>
            <w:tcBorders>
              <w:bottom w:val="single" w:sz="2" w:space="0" w:color="DDDDEE"/>
            </w:tcBorders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B1848FB" w14:textId="77777777" w:rsidR="00000000" w:rsidRDefault="00000000">
            <w:r>
              <w:t>total site visits for outlet d in country c (from readership data)</w:t>
            </w:r>
          </w:p>
        </w:tc>
      </w:tr>
      <w:tr w:rsidR="00124803" w14:paraId="7046E7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2" w:space="0" w:color="DDDDEE"/>
            </w:tcBorders>
            <w:shd w:val="clear" w:color="auto" w:fill="F5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E0BCF" w14:textId="77777777" w:rsidR="00000000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dc</m:t>
                    </m:r>
                  </m:sub>
                </m:sSub>
              </m:oMath>
            </m:oMathPara>
          </w:p>
        </w:tc>
        <w:tc>
          <w:tcPr>
            <w:tcW w:w="7560" w:type="dxa"/>
            <w:tcBorders>
              <w:bottom w:val="single" w:sz="2" w:space="0" w:color="DDDDEE"/>
            </w:tcBorders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D57E708" w14:textId="77777777" w:rsidR="00000000" w:rsidRDefault="00000000">
            <w:r>
              <w:t>readership weight for outlet d in country c</w:t>
            </w:r>
          </w:p>
        </w:tc>
      </w:tr>
      <w:tr w:rsidR="00124803" w14:paraId="610E6F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2" w:space="0" w:color="DDDDEE"/>
            </w:tcBorders>
            <w:shd w:val="clear" w:color="auto" w:fill="F5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6E79A" w14:textId="77777777" w:rsidR="00000000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dct</m:t>
                    </m:r>
                  </m:sub>
                </m:sSub>
              </m:oMath>
            </m:oMathPara>
          </w:p>
        </w:tc>
        <w:tc>
          <w:tcPr>
            <w:tcW w:w="7560" w:type="dxa"/>
            <w:tcBorders>
              <w:bottom w:val="single" w:sz="2" w:space="0" w:color="DDDDEE"/>
            </w:tcBorders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45FFA34" w14:textId="77777777" w:rsidR="00000000" w:rsidRDefault="00000000">
            <w:r>
              <w:t>output-discounted weight for outlet d (country c, month t)</w:t>
            </w:r>
          </w:p>
        </w:tc>
      </w:tr>
      <w:tr w:rsidR="00124803" w14:paraId="57F0B0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2" w:space="0" w:color="DDDDEE"/>
            </w:tcBorders>
            <w:shd w:val="clear" w:color="auto" w:fill="F5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882CD" w14:textId="77777777" w:rsidR="00000000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dct</m:t>
                    </m:r>
                  </m:sub>
                </m:sSub>
              </m:oMath>
            </m:oMathPara>
          </w:p>
        </w:tc>
        <w:tc>
          <w:tcPr>
            <w:tcW w:w="7560" w:type="dxa"/>
            <w:tcBorders>
              <w:bottom w:val="single" w:sz="2" w:space="0" w:color="DDDDEE"/>
            </w:tcBorders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44EA3DB" w14:textId="77777777" w:rsidR="00000000" w:rsidRDefault="00000000">
            <w:r>
              <w:t>combined readership-volume weight for outlet d (country c, month t)</w:t>
            </w:r>
          </w:p>
        </w:tc>
      </w:tr>
      <w:tr w:rsidR="00124803" w14:paraId="47230C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2" w:space="0" w:color="DDDDEE"/>
            </w:tcBorders>
            <w:shd w:val="clear" w:color="auto" w:fill="F5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2C1BA" w14:textId="77777777" w:rsidR="00000000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dct</m:t>
                    </m:r>
                  </m:sub>
                </m:sSub>
              </m:oMath>
            </m:oMathPara>
          </w:p>
        </w:tc>
        <w:tc>
          <w:tcPr>
            <w:tcW w:w="7560" w:type="dxa"/>
            <w:tcBorders>
              <w:bottom w:val="single" w:sz="2" w:space="0" w:color="DDDDEE"/>
            </w:tcBorders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FBED5F6" w14:textId="77777777" w:rsidR="00000000" w:rsidRDefault="00000000">
            <w:r>
              <w:t>exposure mass for outlet d (country c, month t)</w:t>
            </w:r>
          </w:p>
        </w:tc>
      </w:tr>
      <w:tr w:rsidR="00124803" w14:paraId="15408D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2" w:space="0" w:color="DDDDEE"/>
            </w:tcBorders>
            <w:shd w:val="clear" w:color="auto" w:fill="F5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6EEF9" w14:textId="77777777" w:rsidR="00000000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oct</m:t>
                    </m:r>
                  </m:sub>
                </m:sSub>
              </m:oMath>
            </m:oMathPara>
          </w:p>
        </w:tc>
        <w:tc>
          <w:tcPr>
            <w:tcW w:w="7560" w:type="dxa"/>
            <w:tcBorders>
              <w:bottom w:val="single" w:sz="2" w:space="0" w:color="DDDDEE"/>
            </w:tcBorders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D2A926F" w14:textId="77777777" w:rsidR="00000000" w:rsidRDefault="00000000">
            <w:r>
              <w:t>exposure mass for owner o (country c, month t)</w:t>
            </w:r>
          </w:p>
        </w:tc>
      </w:tr>
      <w:tr w:rsidR="00124803" w14:paraId="5A2A87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2" w:space="0" w:color="DDDDEE"/>
            </w:tcBorders>
            <w:shd w:val="clear" w:color="auto" w:fill="F5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5FED9" w14:textId="77777777" w:rsidR="00000000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oct</m:t>
                    </m:r>
                  </m:sub>
                </m:sSub>
              </m:oMath>
            </m:oMathPara>
          </w:p>
        </w:tc>
        <w:tc>
          <w:tcPr>
            <w:tcW w:w="7560" w:type="dxa"/>
            <w:tcBorders>
              <w:bottom w:val="single" w:sz="2" w:space="0" w:color="DDDDEE"/>
            </w:tcBorders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1BEA772" w14:textId="77777777" w:rsidR="00000000" w:rsidRDefault="00000000">
            <w:r>
              <w:t>media concentration share for owner o (country c, month t)</w:t>
            </w:r>
          </w:p>
        </w:tc>
      </w:tr>
    </w:tbl>
    <w:p w14:paraId="2C9821E0" w14:textId="77777777" w:rsidR="00000000" w:rsidRDefault="00000000">
      <w:pPr>
        <w:spacing w:after="80"/>
      </w:pPr>
    </w:p>
    <w:p w14:paraId="63586A76" w14:textId="77777777" w:rsidR="00000000" w:rsidRDefault="00000000">
      <w:pPr>
        <w:pBdr>
          <w:bottom w:val="single" w:sz="6" w:space="1" w:color="AAAACC"/>
        </w:pBdr>
        <w:spacing w:after="80"/>
      </w:pPr>
    </w:p>
    <w:p w14:paraId="51F913C6" w14:textId="77777777" w:rsidR="00000000" w:rsidRDefault="00000000">
      <w:pPr>
        <w:spacing w:after="80"/>
      </w:pPr>
    </w:p>
    <w:p w14:paraId="5B7863C7" w14:textId="77777777" w:rsidR="00000000" w:rsidRDefault="00000000">
      <w:pPr>
        <w:pStyle w:val="Heading2"/>
        <w:spacing w:before="180"/>
      </w:pPr>
      <w:r>
        <w:t>Step 1.  Text-to-outlet aggregation</w:t>
      </w:r>
    </w:p>
    <w:p w14:paraId="3498A2C2" w14:textId="77777777" w:rsidR="00000000" w:rsidRDefault="00000000">
      <w:pPr>
        <w:spacing w:after="100"/>
      </w:pPr>
      <w:r>
        <w:t>Aggregate sentence counts from the article level to the outlet–month level. For each outlet d, country c, and month t:</w:t>
      </w:r>
    </w:p>
    <w:p w14:paraId="5EA8C1AB" w14:textId="77777777" w:rsidR="00000000" w:rsidRDefault="00000000">
      <w:pPr>
        <w:spacing w:before="120" w:after="120"/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dct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ct</m:t>
              </m:r>
            </m:sub>
            <m:sup>
              <m:r>
                <w:rPr>
                  <w:rFonts w:ascii="Cambria Math" w:hAnsi="Cambria Math"/>
                </w:rPr>
                <m:t xml:space="preserve"> 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idct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e>
          </m:nary>
        </m:oMath>
      </m:oMathPara>
    </w:p>
    <w:p w14:paraId="0B1AAB1F" w14:textId="77777777" w:rsidR="00000000" w:rsidRDefault="00000000">
      <w:pPr>
        <w:spacing w:before="12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dct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ct</m:t>
              </m:r>
            </m:sub>
            <m:sup>
              <m:r>
                <w:rPr>
                  <w:rFonts w:ascii="Cambria Math" w:hAnsi="Cambria Math"/>
                </w:rPr>
                <m:t xml:space="preserve"> 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idct</m:t>
                  </m:r>
                </m:sub>
              </m:sSub>
            </m:e>
          </m:nary>
        </m:oMath>
      </m:oMathPara>
    </w:p>
    <w:p w14:paraId="19236A41" w14:textId="77777777" w:rsidR="00000000" w:rsidRDefault="00000000">
      <w:r>
        <w:t>This yields, for each outlet-month, the total narrative-k sentence count and the total inequality-related sentence count.</w:t>
      </w:r>
    </w:p>
    <w:p w14:paraId="7EAFF69B" w14:textId="77777777" w:rsidR="00000000" w:rsidRDefault="00000000">
      <w:pPr>
        <w:pStyle w:val="Heading2"/>
        <w:spacing w:before="180"/>
      </w:pPr>
      <w:r>
        <w:t>Step 2.  Readership weights</w:t>
      </w:r>
    </w:p>
    <w:p w14:paraId="3F94A4F3" w14:textId="77777777" w:rsidR="00000000" w:rsidRDefault="00000000">
      <w:pPr>
        <w:spacing w:after="100"/>
      </w:pPr>
      <w:r>
        <w:t>Let V₝c be the total site visits for outlet d in country c, obtained from the readership data. The readership weight is:</w:t>
      </w:r>
    </w:p>
    <w:p w14:paraId="4488D5DE" w14:textId="77777777" w:rsidR="00000000" w:rsidRDefault="00000000">
      <w:pPr>
        <w:spacing w:before="12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dc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dc</m:t>
                  </m:r>
                </m:sub>
              </m:sSub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∈</m:t>
                  </m:r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 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nary>
            </m:den>
          </m:f>
        </m:oMath>
      </m:oMathPara>
    </w:p>
    <w:p w14:paraId="50818C73" w14:textId="77777777" w:rsidR="00000000" w:rsidRDefault="00000000">
      <w:r>
        <w:t>Weights sum to 1 within each country across all covered outlets.</w:t>
      </w:r>
    </w:p>
    <w:p w14:paraId="14F5F9B6" w14:textId="77777777" w:rsidR="00000000" w:rsidRDefault="00000000">
      <w:pPr>
        <w:pStyle w:val="Heading2"/>
        <w:spacing w:before="180"/>
      </w:pPr>
      <w:r>
        <w:t>Step 3.  Baseline readership-weighted narrative measure</w:t>
      </w:r>
    </w:p>
    <w:p w14:paraId="3B797E1B" w14:textId="77777777" w:rsidR="00000000" w:rsidRDefault="00000000">
      <w:pPr>
        <w:spacing w:after="100"/>
      </w:pPr>
      <w:r>
        <w:lastRenderedPageBreak/>
        <w:t>For each narrative k, country c, and month t:</w:t>
      </w:r>
    </w:p>
    <w:p w14:paraId="3EE7941F" w14:textId="77777777" w:rsidR="00000000" w:rsidRDefault="00000000">
      <w:pPr>
        <w:spacing w:before="120" w:after="120"/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ct</m:t>
              </m:r>
            </m:sub>
            <m:sup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</w:rPr>
                <m:t>base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∈</m:t>
                  </m:r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 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dct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</m:e>
              </m:nary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∈</m:t>
                  </m:r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 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dct</m:t>
                      </m:r>
                    </m:sub>
                  </m:sSub>
                </m:e>
              </m:nary>
            </m:den>
          </m:f>
        </m:oMath>
      </m:oMathPara>
    </w:p>
    <w:p w14:paraId="552A3995" w14:textId="77777777" w:rsidR="00000000" w:rsidRDefault="00000000">
      <w:r>
        <w:t>This is the share of readership-weighted inequality-related sentences that belong to narrative k. Each outlet contributes proportionally to its audience size.</w:t>
      </w:r>
    </w:p>
    <w:p w14:paraId="4FEFFE8A" w14:textId="77777777" w:rsidR="00000000" w:rsidRDefault="00000000">
      <w:pPr>
        <w:pStyle w:val="Heading2"/>
        <w:spacing w:before="180"/>
      </w:pPr>
      <w:r>
        <w:t>Step 4.  Output-discounted measure  (robustness check)</w:t>
      </w:r>
    </w:p>
    <w:p w14:paraId="4504E62C" w14:textId="77777777" w:rsidR="00000000" w:rsidRDefault="00000000">
      <w:pPr>
        <w:spacing w:after="100"/>
      </w:pPr>
      <w:r>
        <w:t>If the readership metric reflects total outlet traffic rather than reads per article, prolific outlets risk being overweighted. Define an output-discounted weight that divides readership by article volume:</w:t>
      </w:r>
    </w:p>
    <w:p w14:paraId="67FF115B" w14:textId="77777777" w:rsidR="00000000" w:rsidRDefault="00000000">
      <w:pPr>
        <w:spacing w:before="12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dct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dc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dct</m:t>
                  </m:r>
                </m:sub>
              </m:sSub>
            </m:den>
          </m:f>
        </m:oMath>
      </m:oMathPara>
    </w:p>
    <w:p w14:paraId="3F49B510" w14:textId="77777777" w:rsidR="00000000" w:rsidRDefault="00000000">
      <w:pPr>
        <w:spacing w:after="100"/>
      </w:pPr>
      <w:r>
        <w:t>The discounted narrative measure is then:</w:t>
      </w:r>
    </w:p>
    <w:p w14:paraId="09B3FAF6" w14:textId="77777777" w:rsidR="00000000" w:rsidRDefault="00000000">
      <w:pPr>
        <w:spacing w:before="120" w:after="120"/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ct</m:t>
              </m:r>
            </m:sub>
            <m:sup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</w:rPr>
                <m:t>disc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∈</m:t>
                  </m:r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 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dct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dct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</m:e>
              </m:nary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∈</m:t>
                  </m:r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 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dct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dct</m:t>
                      </m:r>
                    </m:sub>
                  </m:sSub>
                </m:e>
              </m:nary>
            </m:den>
          </m:f>
        </m:oMath>
      </m:oMathPara>
    </w:p>
    <w:p w14:paraId="58AF622B" w14:textId="77777777" w:rsidR="00000000" w:rsidRDefault="00000000">
      <w:r>
        <w:t>Outlets that publish many articles per unit of readership are down-weighted relative to the baseline.</w:t>
      </w:r>
    </w:p>
    <w:p w14:paraId="5B55EB4E" w14:textId="77777777" w:rsidR="00000000" w:rsidRDefault="00000000">
      <w:pPr>
        <w:pStyle w:val="Heading2"/>
        <w:spacing w:before="180"/>
      </w:pPr>
      <w:r>
        <w:t>Step 5.  Owner-level exposure mass  (instrument construction)</w:t>
      </w:r>
    </w:p>
    <w:p w14:paraId="0A30E775" w14:textId="77777777" w:rsidR="00000000" w:rsidRDefault="00000000">
      <w:pPr>
        <w:spacing w:after="100"/>
      </w:pPr>
      <w:r>
        <w:t>To build the owner-adjusted concentration measure used as an instrument, first compute the readership-weighted inequality output for each outlet:</w:t>
      </w:r>
    </w:p>
    <w:p w14:paraId="112C17FF" w14:textId="77777777" w:rsidR="00000000" w:rsidRDefault="00000000">
      <w:pPr>
        <w:spacing w:before="12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dct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dc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dct</m:t>
              </m:r>
            </m:sub>
          </m:sSub>
        </m:oMath>
      </m:oMathPara>
    </w:p>
    <w:p w14:paraId="63A156B8" w14:textId="77777777" w:rsidR="00000000" w:rsidRDefault="00000000">
      <w:pPr>
        <w:spacing w:after="100"/>
      </w:pPr>
      <w:r>
        <w:t>Then aggregate to the owner level. If outlet d belongs to owner o:</w:t>
      </w:r>
    </w:p>
    <w:p w14:paraId="3F88BCD1" w14:textId="77777777" w:rsidR="00000000" w:rsidRDefault="00000000">
      <w:pPr>
        <w:spacing w:before="12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oct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o</m:t>
              </m:r>
            </m:sub>
            <m:sup>
              <m:r>
                <w:rPr>
                  <w:rFonts w:ascii="Cambria Math" w:hAnsi="Cambria Math"/>
                </w:rPr>
                <m:t xml:space="preserve"> 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dct</m:t>
                  </m:r>
                </m:sub>
              </m:sSub>
            </m:e>
          </m:nary>
        </m:oMath>
      </m:oMathPara>
    </w:p>
    <w:p w14:paraId="7BC06DF2" w14:textId="77777777" w:rsidR="00000000" w:rsidRDefault="00000000">
      <w:r>
        <w:t>This gives the total readership-weighted inequality output across all outlets controlled by owner o in country c at month t.</w:t>
      </w:r>
    </w:p>
    <w:p w14:paraId="2046DCD2" w14:textId="77777777" w:rsidR="00000000" w:rsidRDefault="00000000">
      <w:pPr>
        <w:pStyle w:val="Heading2"/>
        <w:spacing w:before="180"/>
      </w:pPr>
      <w:r>
        <w:t>Step 6.  Owner concentration shares</w:t>
      </w:r>
    </w:p>
    <w:p w14:paraId="59921A29" w14:textId="77777777" w:rsidR="00000000" w:rsidRDefault="00000000">
      <w:pPr>
        <w:spacing w:after="100"/>
      </w:pPr>
      <w:r>
        <w:t>Within each country-month, the share of total exposure mass attributable to owner o is:</w:t>
      </w:r>
    </w:p>
    <w:p w14:paraId="550287BC" w14:textId="77777777" w:rsidR="00000000" w:rsidRDefault="00000000">
      <w:pPr>
        <w:spacing w:before="12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oct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oct</m:t>
                  </m:r>
                </m:sub>
              </m:sSub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∈</m:t>
                  </m:r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 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ct</m:t>
                      </m:r>
                    </m:sub>
                  </m:sSub>
                </m:e>
              </m:nary>
            </m:den>
          </m:f>
        </m:oMath>
      </m:oMathPara>
    </w:p>
    <w:p w14:paraId="5D1E2644" w14:textId="77777777" w:rsidR="00000000" w:rsidRDefault="00000000">
      <w:r>
        <w:t>These owner shares are used to construct Herfindahl-type concentration indices.</w:t>
      </w:r>
    </w:p>
    <w:p w14:paraId="68AED8EA" w14:textId="77777777" w:rsidR="00000000" w:rsidRDefault="00000000">
      <w:pPr>
        <w:pStyle w:val="Heading2"/>
        <w:spacing w:before="180"/>
      </w:pPr>
      <w:r>
        <w:t>Step 7.  Narrative penetration measure</w:t>
      </w:r>
    </w:p>
    <w:p w14:paraId="16C47D86" w14:textId="77777777" w:rsidR="00000000" w:rsidRDefault="00000000">
      <w:pPr>
        <w:spacing w:after="120"/>
      </w:pPr>
      <w:r>
        <w:t>The baseline measure (Step 3) captures narrative prevalence within inequality-related content. For the penetration measure, the relevant denominator is all content published by each outlet, not just inequality-related sentences. This gives the share of total media output dedicated to narrative k.</w:t>
      </w:r>
    </w:p>
    <w:p w14:paraId="0B104278" w14:textId="77777777" w:rsidR="00000000" w:rsidRDefault="00000000">
      <w:pPr>
        <w:spacing w:after="100"/>
      </w:pPr>
      <w:r>
        <w:lastRenderedPageBreak/>
        <w:t>First define a combined exposure weight that reflects each outlet’s readership and total publication volume jointly:</w:t>
      </w:r>
    </w:p>
    <w:p w14:paraId="09D29F55" w14:textId="77777777" w:rsidR="00000000" w:rsidRDefault="00000000">
      <w:pPr>
        <w:spacing w:before="12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dct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dc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dct</m:t>
                  </m:r>
                </m:sub>
              </m:sSub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∈</m:t>
                  </m:r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 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ct</m:t>
                      </m:r>
                    </m:sub>
                  </m:sSub>
                </m:e>
              </m:nary>
            </m:den>
          </m:f>
        </m:oMath>
      </m:oMathPara>
    </w:p>
    <w:p w14:paraId="70373A05" w14:textId="06FC2E93" w:rsidR="00000000" w:rsidRDefault="00000000">
      <w:pPr>
        <w:spacing w:after="120"/>
      </w:pPr>
      <w:r>
        <w:t xml:space="preserve">Weights sum to 1 within each country-month: </w:t>
      </w:r>
      <w:proofErr w:type="spellStart"/>
      <w:r>
        <w:t>Σ</w:t>
      </w:r>
      <w:r>
        <w:t>∈c</w:t>
      </w:r>
      <w:proofErr w:type="spellEnd"/>
      <w:r>
        <w:t xml:space="preserve"> ω</w:t>
      </w:r>
      <w:r>
        <w:t>ct = 1.</w:t>
      </w:r>
    </w:p>
    <w:p w14:paraId="11B9D039" w14:textId="77777777" w:rsidR="00000000" w:rsidRDefault="00000000">
      <w:pPr>
        <w:spacing w:after="100"/>
      </w:pPr>
      <w:r>
        <w:t>The penetration measure is the exposure-weighted average of outlet-level narrative shares:</w:t>
      </w:r>
    </w:p>
    <w:p w14:paraId="2075DEAB" w14:textId="77777777" w:rsidR="00000000" w:rsidRDefault="00000000">
      <w:pPr>
        <w:spacing w:before="120" w:after="120"/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ct</m:t>
              </m:r>
            </m:sub>
            <m:sup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</w:rPr>
                <m:t>pen</m:t>
              </m:r>
            </m:sup>
          </m:sSubSup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 xml:space="preserve"> 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dct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dct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dct</m:t>
                      </m:r>
                    </m:sub>
                  </m:sSub>
                </m:den>
              </m:f>
            </m:e>
          </m:nary>
        </m:oMath>
      </m:oMathPara>
    </w:p>
    <w:p w14:paraId="64EC164B" w14:textId="77777777" w:rsidR="00000000" w:rsidRDefault="00000000">
      <w:r>
        <w:t>where L₝ct is the total sentence count for outlet d across all topics. An outlet’s contribution to Nᵏ’ᵖᵉⁿ is proportional to both how widely it is read and how much it publishes — its overall footprint in the media landscape. Unlike Nᵏ’ᵇᵃˢᵉ (Step 3), which focuses on the composition of inequality coverage, Nᵏ’ᵖᵉⁿ measures narrative k’s penetration into the full media agenda.</w:t>
      </w:r>
    </w:p>
    <w:p w14:paraId="502022B9" w14:textId="77777777" w:rsidR="00000000" w:rsidRDefault="00000000">
      <w:pPr>
        <w:spacing w:after="80"/>
      </w:pPr>
    </w:p>
    <w:sectPr w:rsidR="0000000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9D4A00"/>
    <w:multiLevelType w:val="multilevel"/>
    <w:tmpl w:val="389E9076"/>
    <w:lvl w:ilvl="0">
      <w:start w:val="1"/>
      <w:numFmt w:val="bullet"/>
      <w:pStyle w:val="List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88548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7AEF0D"/>
    <w:rsid w:val="00124803"/>
    <w:rsid w:val="002B665D"/>
    <w:rsid w:val="00603C5E"/>
    <w:rsid w:val="0064216F"/>
    <w:rsid w:val="0074498D"/>
    <w:rsid w:val="00931937"/>
    <w:rsid w:val="00E25D93"/>
    <w:rsid w:val="015557C1"/>
    <w:rsid w:val="05B8B1B7"/>
    <w:rsid w:val="060FE52D"/>
    <w:rsid w:val="0757709A"/>
    <w:rsid w:val="0CD2B3C8"/>
    <w:rsid w:val="0D358E13"/>
    <w:rsid w:val="0E0FDCB6"/>
    <w:rsid w:val="0F6016F9"/>
    <w:rsid w:val="14339D89"/>
    <w:rsid w:val="151AF074"/>
    <w:rsid w:val="1747DCE2"/>
    <w:rsid w:val="184442F5"/>
    <w:rsid w:val="1B2F16AB"/>
    <w:rsid w:val="1C77A62F"/>
    <w:rsid w:val="1E1AB803"/>
    <w:rsid w:val="29ABC2AC"/>
    <w:rsid w:val="30A25AF8"/>
    <w:rsid w:val="36B1BF78"/>
    <w:rsid w:val="37ED5AB1"/>
    <w:rsid w:val="388B2CCF"/>
    <w:rsid w:val="3D12964F"/>
    <w:rsid w:val="431B0B46"/>
    <w:rsid w:val="4322115A"/>
    <w:rsid w:val="45C54AF0"/>
    <w:rsid w:val="48645354"/>
    <w:rsid w:val="491943EB"/>
    <w:rsid w:val="49349AA7"/>
    <w:rsid w:val="4D213142"/>
    <w:rsid w:val="5091D2F7"/>
    <w:rsid w:val="56650718"/>
    <w:rsid w:val="56A2369D"/>
    <w:rsid w:val="571CEBC8"/>
    <w:rsid w:val="577AEF0D"/>
    <w:rsid w:val="59EE9914"/>
    <w:rsid w:val="603FC028"/>
    <w:rsid w:val="635CF3AC"/>
    <w:rsid w:val="63DAC08B"/>
    <w:rsid w:val="63DBC39A"/>
    <w:rsid w:val="66665AD4"/>
    <w:rsid w:val="6AE2967D"/>
    <w:rsid w:val="6DF04B9A"/>
    <w:rsid w:val="70AA058D"/>
    <w:rsid w:val="71572724"/>
    <w:rsid w:val="72D2C149"/>
    <w:rsid w:val="7A9B18DF"/>
    <w:rsid w:val="7C51AEB0"/>
    <w:rsid w:val="7DDF37C1"/>
    <w:rsid w:val="7FEAA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9DA02"/>
  <w15:chartTrackingRefBased/>
  <w15:docId w15:val="{C90D9A61-8193-4929-A713-1D76CE453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Calibri"/>
        <w:sz w:val="22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pBdr>
        <w:bottom w:val="single" w:sz="4" w:space="2" w:color="AAAACC"/>
      </w:pBdr>
      <w:spacing w:before="240" w:after="100"/>
      <w:outlineLvl w:val="0"/>
    </w:pPr>
    <w:rPr>
      <w:b/>
      <w:color w:val="1F2D6E"/>
      <w:sz w:val="28"/>
    </w:rPr>
  </w:style>
  <w:style w:type="paragraph" w:styleId="Heading2">
    <w:name w:val="heading 2"/>
    <w:basedOn w:val="Normal"/>
    <w:uiPriority w:val="9"/>
    <w:unhideWhenUsed/>
    <w:qFormat/>
    <w:pPr>
      <w:spacing w:before="200" w:after="80"/>
      <w:outlineLvl w:val="1"/>
    </w:pPr>
    <w:rPr>
      <w:b/>
      <w:color w:val="2C4494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pPr>
      <w:numPr>
        <w:numId w:val="1"/>
      </w:numPr>
      <w:spacing w:after="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784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Alassaf,S (pgt)</dc:creator>
  <cp:keywords/>
  <dc:description/>
  <cp:lastModifiedBy>Bermejo-Quintero,A (pgt)</cp:lastModifiedBy>
  <cp:revision>2</cp:revision>
  <dcterms:created xsi:type="dcterms:W3CDTF">2026-03-31T08:00:00Z</dcterms:created>
  <dcterms:modified xsi:type="dcterms:W3CDTF">2026-03-31T08:00:00Z</dcterms:modified>
</cp:coreProperties>
</file>