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CAPRION – WHATSAPP COLLECTION CAMPAIGN</w:t>
      </w:r>
    </w:p>
    <w:p>
      <w:pPr>
        <w:jc w:val="center"/>
      </w:pPr>
      <w:r>
        <w:rPr>
          <w:b/>
          <w:sz w:val="24"/>
        </w:rPr>
        <w:t>Campaign Scripts + Google Sheet Operating Model + AI Agent Requirements</w:t>
      </w:r>
    </w:p>
    <w:p>
      <w:pPr>
        <w:jc w:val="center"/>
      </w:pPr>
      <w:r>
        <w:rPr>
          <w:i/>
        </w:rPr>
        <w:t>For WhatsApp Campaign Team / AI Agent Team</w:t>
      </w:r>
    </w:p>
    <w:p>
      <w:pPr>
        <w:pStyle w:val="Heading1"/>
      </w:pPr>
      <w:r>
        <w:t>1. Operating Model – Important</w:t>
      </w:r>
    </w:p>
    <w:p>
      <w:r>
        <w:t>There will be NO direct integration with Caprion's LMS or LOS for this campaign. Caprion will provide the required customer/loan data through a Google Sheet. The WhatsApp Campaign Team will use the Google Sheet as the campaign data source, run the applicable campaigns, capture customer responses and update the same sheet (or an agreed output sheet) with all feedback and classifications.</w:t>
      </w:r>
    </w:p>
    <w:p>
      <w:r>
        <w:rPr>
          <w:b/>
        </w:rPr>
        <w:t xml:space="preserve">Core principle: </w:t>
      </w:r>
      <w:r>
        <w:t>The AI WhatsApp Agent must answer ONLY from the information available in the approved Google Sheet / approved campaign knowledge provided by Caprion. It must not guess, assume, calculate, promise, or invent loan information.</w:t>
      </w:r>
    </w:p>
    <w:p>
      <w:pPr>
        <w:pStyle w:val="Heading1"/>
      </w:pPr>
      <w:r>
        <w:t>2. End-to-End Process</w:t>
      </w:r>
    </w:p>
    <w:p>
      <w:pPr>
        <w:pStyle w:val="ListNumber"/>
      </w:pPr>
      <w:r>
        <w:t>Caprion prepares and shares the Google Sheet with eligible customer/loan records.</w:t>
      </w:r>
    </w:p>
    <w:p>
      <w:pPr>
        <w:pStyle w:val="ListNumber"/>
      </w:pPr>
      <w:r>
        <w:t>WhatsApp Campaign Team pulls/reads the latest Google Sheet data.</w:t>
      </w:r>
    </w:p>
    <w:p>
      <w:pPr>
        <w:pStyle w:val="ListNumber"/>
      </w:pPr>
      <w:r>
        <w:t>Campaign Team identifies the applicable campaign based on the campaign flag / due-date information.</w:t>
      </w:r>
    </w:p>
    <w:p>
      <w:pPr>
        <w:pStyle w:val="ListNumber"/>
      </w:pPr>
      <w:r>
        <w:t>WhatsApp messages are sent to the customer.</w:t>
      </w:r>
    </w:p>
    <w:p>
      <w:pPr>
        <w:pStyle w:val="ListNumber"/>
      </w:pPr>
      <w:r>
        <w:t>AI WhatsApp Agent handles customer replies.</w:t>
      </w:r>
    </w:p>
    <w:p>
      <w:pPr>
        <w:pStyle w:val="ListNumber"/>
      </w:pPr>
      <w:r>
        <w:t>Agent records the customer's response, intent and feedback.</w:t>
      </w:r>
    </w:p>
    <w:p>
      <w:pPr>
        <w:pStyle w:val="ListNumber"/>
      </w:pPr>
      <w:r>
        <w:t>Every interaction is classified into a standard collection category.</w:t>
      </w:r>
    </w:p>
    <w:p>
      <w:pPr>
        <w:pStyle w:val="ListNumber"/>
      </w:pPr>
      <w:r>
        <w:t>If the customer asks something that cannot be answered from the Google Sheet / approved information, the bot must NOT guess. It should say that a callback will be arranged and create a callback requirement.</w:t>
      </w:r>
    </w:p>
    <w:p>
      <w:pPr>
        <w:pStyle w:val="ListNumber"/>
      </w:pPr>
      <w:r>
        <w:t>The updated feedback/output data is shared back with Caprion in the agreed Google Sheet format.</w:t>
      </w:r>
    </w:p>
    <w:p>
      <w:pPr>
        <w:pStyle w:val="Heading1"/>
      </w:pPr>
      <w:r>
        <w:t>3. Campaign Journey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rial" w:hAnsi="Arial"/>
                <w:sz w:val="18"/>
              </w:rPr>
              <w:t>Campaign</w:t>
            </w:r>
          </w:p>
        </w:tc>
        <w:tc>
          <w:tcPr>
            <w:tcW w:type="dxa" w:w="2556"/>
            <w:vAlign w:val="center"/>
          </w:tcPr>
          <w:p>
            <w:r>
              <w:rPr>
                <w:rFonts w:ascii="Arial" w:hAnsi="Arial"/>
                <w:sz w:val="18"/>
              </w:rPr>
              <w:t>Trigger</w:t>
            </w:r>
          </w:p>
        </w:tc>
        <w:tc>
          <w:tcPr>
            <w:tcW w:type="dxa" w:w="2556"/>
            <w:vAlign w:val="center"/>
          </w:tcPr>
          <w:p>
            <w:r>
              <w:rPr>
                <w:rFonts w:ascii="Arial" w:hAnsi="Arial"/>
                <w:sz w:val="18"/>
              </w:rPr>
              <w:t>Objective</w:t>
            </w:r>
          </w:p>
        </w:tc>
        <w:tc>
          <w:tcPr>
            <w:tcW w:type="dxa" w:w="2556"/>
            <w:vAlign w:val="center"/>
          </w:tcPr>
          <w:p>
            <w:r>
              <w:rPr>
                <w:rFonts w:ascii="Arial" w:hAnsi="Arial"/>
                <w:sz w:val="18"/>
              </w:rPr>
              <w:t>Primary Action</w:t>
            </w:r>
          </w:p>
        </w:tc>
      </w:tr>
      <w:tr>
        <w:tc>
          <w:tcPr>
            <w:tcW w:type="dxa" w:w="2556"/>
            <w:vAlign w:val="center"/>
          </w:tcPr>
          <w:p>
            <w:r>
              <w:rPr>
                <w:rFonts w:ascii="Arial" w:hAnsi="Arial"/>
                <w:sz w:val="18"/>
              </w:rPr>
              <w:t>Post-Disbursement</w:t>
            </w:r>
          </w:p>
        </w:tc>
        <w:tc>
          <w:tcPr>
            <w:tcW w:type="dxa" w:w="2556"/>
            <w:vAlign w:val="center"/>
          </w:tcPr>
          <w:p>
            <w:r>
              <w:rPr>
                <w:rFonts w:ascii="Arial" w:hAnsi="Arial"/>
                <w:sz w:val="18"/>
              </w:rPr>
              <w:t>Immediately after disbursement / Day 0</w:t>
            </w:r>
          </w:p>
        </w:tc>
        <w:tc>
          <w:tcPr>
            <w:tcW w:type="dxa" w:w="2556"/>
            <w:vAlign w:val="center"/>
          </w:tcPr>
          <w:p>
            <w:r>
              <w:rPr>
                <w:rFonts w:ascii="Arial" w:hAnsi="Arial"/>
                <w:sz w:val="18"/>
              </w:rPr>
              <w:t>Welcome + repayment awareness</w:t>
            </w:r>
          </w:p>
        </w:tc>
        <w:tc>
          <w:tcPr>
            <w:tcW w:type="dxa" w:w="2556"/>
            <w:vAlign w:val="center"/>
          </w:tcPr>
          <w:p>
            <w:r>
              <w:rPr>
                <w:rFonts w:ascii="Arial" w:hAnsi="Arial"/>
                <w:sz w:val="18"/>
              </w:rPr>
              <w:t>Customer saves first EMI due date</w:t>
            </w:r>
          </w:p>
        </w:tc>
      </w:tr>
      <w:tr>
        <w:tc>
          <w:tcPr>
            <w:tcW w:type="dxa" w:w="2556"/>
            <w:vAlign w:val="center"/>
          </w:tcPr>
          <w:p>
            <w:r>
              <w:rPr>
                <w:rFonts w:ascii="Arial" w:hAnsi="Arial"/>
                <w:sz w:val="18"/>
              </w:rPr>
              <w:t>Pre-Due</w:t>
            </w:r>
          </w:p>
        </w:tc>
        <w:tc>
          <w:tcPr>
            <w:tcW w:type="dxa" w:w="2556"/>
            <w:vAlign w:val="center"/>
          </w:tcPr>
          <w:p>
            <w:r>
              <w:rPr>
                <w:rFonts w:ascii="Arial" w:hAnsi="Arial"/>
                <w:sz w:val="18"/>
              </w:rPr>
              <w:t>D-5 to D-3</w:t>
            </w:r>
          </w:p>
        </w:tc>
        <w:tc>
          <w:tcPr>
            <w:tcW w:type="dxa" w:w="2556"/>
            <w:vAlign w:val="center"/>
          </w:tcPr>
          <w:p>
            <w:r>
              <w:rPr>
                <w:rFonts w:ascii="Arial" w:hAnsi="Arial"/>
                <w:sz w:val="18"/>
              </w:rPr>
              <w:t>Prevent missed EMI / bounce</w:t>
            </w:r>
          </w:p>
        </w:tc>
        <w:tc>
          <w:tcPr>
            <w:tcW w:type="dxa" w:w="2556"/>
            <w:vAlign w:val="center"/>
          </w:tcPr>
          <w:p>
            <w:r>
              <w:rPr>
                <w:rFonts w:ascii="Arial" w:hAnsi="Arial"/>
                <w:sz w:val="18"/>
              </w:rPr>
              <w:t>Maintain sufficient bank balance</w:t>
            </w:r>
          </w:p>
        </w:tc>
      </w:tr>
      <w:tr>
        <w:tc>
          <w:tcPr>
            <w:tcW w:type="dxa" w:w="2556"/>
            <w:vAlign w:val="center"/>
          </w:tcPr>
          <w:p>
            <w:r>
              <w:rPr>
                <w:rFonts w:ascii="Arial" w:hAnsi="Arial"/>
                <w:sz w:val="18"/>
              </w:rPr>
              <w:t>Post-Bounce</w:t>
            </w:r>
          </w:p>
        </w:tc>
        <w:tc>
          <w:tcPr>
            <w:tcW w:type="dxa" w:w="2556"/>
            <w:vAlign w:val="center"/>
          </w:tcPr>
          <w:p>
            <w:r>
              <w:rPr>
                <w:rFonts w:ascii="Arial" w:hAnsi="Arial"/>
                <w:sz w:val="18"/>
              </w:rPr>
              <w:t>D+1 after confirmed bounce</w:t>
            </w:r>
          </w:p>
        </w:tc>
        <w:tc>
          <w:tcPr>
            <w:tcW w:type="dxa" w:w="2556"/>
            <w:vAlign w:val="center"/>
          </w:tcPr>
          <w:p>
            <w:r>
              <w:rPr>
                <w:rFonts w:ascii="Arial" w:hAnsi="Arial"/>
                <w:sz w:val="18"/>
              </w:rPr>
              <w:t>Cure overdue EMI</w:t>
            </w:r>
          </w:p>
        </w:tc>
        <w:tc>
          <w:tcPr>
            <w:tcW w:type="dxa" w:w="2556"/>
            <w:vAlign w:val="center"/>
          </w:tcPr>
          <w:p>
            <w:r>
              <w:rPr>
                <w:rFonts w:ascii="Arial" w:hAnsi="Arial"/>
                <w:sz w:val="18"/>
              </w:rPr>
              <w:t>Pay now / communicate issue</w:t>
            </w:r>
          </w:p>
        </w:tc>
      </w:tr>
    </w:tbl>
    <w:p>
      <w:pPr>
        <w:pStyle w:val="Heading1"/>
      </w:pPr>
      <w:r>
        <w:t>4. Google Sheet – Input Data Required</w:t>
      </w:r>
    </w:p>
    <w:p>
      <w:r>
        <w:t>The following fields should preferably be available in the Google Sheet. Fields marked Critical are required for the corresponding campaign.</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Field</w:t>
            </w:r>
          </w:p>
        </w:tc>
        <w:tc>
          <w:tcPr>
            <w:tcW w:type="dxa" w:w="3408"/>
            <w:vAlign w:val="center"/>
          </w:tcPr>
          <w:p>
            <w:r>
              <w:rPr>
                <w:rFonts w:ascii="Arial" w:hAnsi="Arial"/>
                <w:sz w:val="18"/>
              </w:rPr>
              <w:t>Example / Description</w:t>
            </w:r>
          </w:p>
        </w:tc>
        <w:tc>
          <w:tcPr>
            <w:tcW w:type="dxa" w:w="3408"/>
            <w:vAlign w:val="center"/>
          </w:tcPr>
          <w:p>
            <w:r>
              <w:rPr>
                <w:rFonts w:ascii="Arial" w:hAnsi="Arial"/>
                <w:sz w:val="18"/>
              </w:rPr>
              <w:t>Importance</w:t>
            </w:r>
          </w:p>
        </w:tc>
      </w:tr>
      <w:tr>
        <w:tc>
          <w:tcPr>
            <w:tcW w:type="dxa" w:w="3408"/>
            <w:vAlign w:val="center"/>
          </w:tcPr>
          <w:p>
            <w:r>
              <w:rPr>
                <w:rFonts w:ascii="Arial" w:hAnsi="Arial"/>
                <w:sz w:val="18"/>
              </w:rPr>
              <w:t>customer_name</w:t>
            </w:r>
          </w:p>
        </w:tc>
        <w:tc>
          <w:tcPr>
            <w:tcW w:type="dxa" w:w="3408"/>
            <w:vAlign w:val="center"/>
          </w:tcPr>
          <w:p>
            <w:r>
              <w:rPr>
                <w:rFonts w:ascii="Arial" w:hAnsi="Arial"/>
                <w:sz w:val="18"/>
              </w:rPr>
              <w:t>Ravi Kumar</w:t>
            </w:r>
          </w:p>
        </w:tc>
        <w:tc>
          <w:tcPr>
            <w:tcW w:type="dxa" w:w="3408"/>
            <w:vAlign w:val="center"/>
          </w:tcPr>
          <w:p>
            <w:r>
              <w:rPr>
                <w:rFonts w:ascii="Arial" w:hAnsi="Arial"/>
                <w:sz w:val="18"/>
              </w:rPr>
              <w:t>Critical</w:t>
            </w:r>
          </w:p>
        </w:tc>
      </w:tr>
      <w:tr>
        <w:tc>
          <w:tcPr>
            <w:tcW w:type="dxa" w:w="3408"/>
            <w:vAlign w:val="center"/>
          </w:tcPr>
          <w:p>
            <w:r>
              <w:rPr>
                <w:rFonts w:ascii="Arial" w:hAnsi="Arial"/>
                <w:sz w:val="18"/>
              </w:rPr>
              <w:t>mobile_number</w:t>
            </w:r>
          </w:p>
        </w:tc>
        <w:tc>
          <w:tcPr>
            <w:tcW w:type="dxa" w:w="3408"/>
            <w:vAlign w:val="center"/>
          </w:tcPr>
          <w:p>
            <w:r>
              <w:rPr>
                <w:rFonts w:ascii="Arial" w:hAnsi="Arial"/>
                <w:sz w:val="18"/>
              </w:rPr>
              <w:t>10-digit WhatsApp number</w:t>
            </w:r>
          </w:p>
        </w:tc>
        <w:tc>
          <w:tcPr>
            <w:tcW w:type="dxa" w:w="3408"/>
            <w:vAlign w:val="center"/>
          </w:tcPr>
          <w:p>
            <w:r>
              <w:rPr>
                <w:rFonts w:ascii="Arial" w:hAnsi="Arial"/>
                <w:sz w:val="18"/>
              </w:rPr>
              <w:t>Critical</w:t>
            </w:r>
          </w:p>
        </w:tc>
      </w:tr>
      <w:tr>
        <w:tc>
          <w:tcPr>
            <w:tcW w:type="dxa" w:w="3408"/>
            <w:vAlign w:val="center"/>
          </w:tcPr>
          <w:p>
            <w:r>
              <w:rPr>
                <w:rFonts w:ascii="Arial" w:hAnsi="Arial"/>
                <w:sz w:val="18"/>
              </w:rPr>
              <w:t>loan_id</w:t>
            </w:r>
          </w:p>
        </w:tc>
        <w:tc>
          <w:tcPr>
            <w:tcW w:type="dxa" w:w="3408"/>
            <w:vAlign w:val="center"/>
          </w:tcPr>
          <w:p>
            <w:r>
              <w:rPr>
                <w:rFonts w:ascii="Arial" w:hAnsi="Arial"/>
                <w:sz w:val="18"/>
              </w:rPr>
              <w:t>CAP123456</w:t>
            </w:r>
          </w:p>
        </w:tc>
        <w:tc>
          <w:tcPr>
            <w:tcW w:type="dxa" w:w="3408"/>
            <w:vAlign w:val="center"/>
          </w:tcPr>
          <w:p>
            <w:r>
              <w:rPr>
                <w:rFonts w:ascii="Arial" w:hAnsi="Arial"/>
                <w:sz w:val="18"/>
              </w:rPr>
              <w:t>Critical</w:t>
            </w:r>
          </w:p>
        </w:tc>
      </w:tr>
      <w:tr>
        <w:tc>
          <w:tcPr>
            <w:tcW w:type="dxa" w:w="3408"/>
            <w:vAlign w:val="center"/>
          </w:tcPr>
          <w:p>
            <w:r>
              <w:rPr>
                <w:rFonts w:ascii="Arial" w:hAnsi="Arial"/>
                <w:sz w:val="18"/>
              </w:rPr>
              <w:t>campaign_type</w:t>
            </w:r>
          </w:p>
        </w:tc>
        <w:tc>
          <w:tcPr>
            <w:tcW w:type="dxa" w:w="3408"/>
            <w:vAlign w:val="center"/>
          </w:tcPr>
          <w:p>
            <w:r>
              <w:rPr>
                <w:rFonts w:ascii="Arial" w:hAnsi="Arial"/>
                <w:sz w:val="18"/>
              </w:rPr>
              <w:t>POST_DISBURSEMENT / PRE_DUE / POST_BOUNCE</w:t>
            </w:r>
          </w:p>
        </w:tc>
        <w:tc>
          <w:tcPr>
            <w:tcW w:type="dxa" w:w="3408"/>
            <w:vAlign w:val="center"/>
          </w:tcPr>
          <w:p>
            <w:r>
              <w:rPr>
                <w:rFonts w:ascii="Arial" w:hAnsi="Arial"/>
                <w:sz w:val="18"/>
              </w:rPr>
              <w:t>Critical</w:t>
            </w:r>
          </w:p>
        </w:tc>
      </w:tr>
      <w:tr>
        <w:tc>
          <w:tcPr>
            <w:tcW w:type="dxa" w:w="3408"/>
            <w:vAlign w:val="center"/>
          </w:tcPr>
          <w:p>
            <w:r>
              <w:rPr>
                <w:rFonts w:ascii="Arial" w:hAnsi="Arial"/>
                <w:sz w:val="18"/>
              </w:rPr>
              <w:t>disbursed_amount</w:t>
            </w:r>
          </w:p>
        </w:tc>
        <w:tc>
          <w:tcPr>
            <w:tcW w:type="dxa" w:w="3408"/>
            <w:vAlign w:val="center"/>
          </w:tcPr>
          <w:p>
            <w:r>
              <w:rPr>
                <w:rFonts w:ascii="Arial" w:hAnsi="Arial"/>
                <w:sz w:val="18"/>
              </w:rPr>
              <w:t>₹2,00,000</w:t>
            </w:r>
          </w:p>
        </w:tc>
        <w:tc>
          <w:tcPr>
            <w:tcW w:type="dxa" w:w="3408"/>
            <w:vAlign w:val="center"/>
          </w:tcPr>
          <w:p>
            <w:r>
              <w:rPr>
                <w:rFonts w:ascii="Arial" w:hAnsi="Arial"/>
                <w:sz w:val="18"/>
              </w:rPr>
              <w:t>Post-Disbursement</w:t>
            </w:r>
          </w:p>
        </w:tc>
      </w:tr>
      <w:tr>
        <w:tc>
          <w:tcPr>
            <w:tcW w:type="dxa" w:w="3408"/>
            <w:vAlign w:val="center"/>
          </w:tcPr>
          <w:p>
            <w:r>
              <w:rPr>
                <w:rFonts w:ascii="Arial" w:hAnsi="Arial"/>
                <w:sz w:val="18"/>
              </w:rPr>
              <w:t>emi_amount</w:t>
            </w:r>
          </w:p>
        </w:tc>
        <w:tc>
          <w:tcPr>
            <w:tcW w:type="dxa" w:w="3408"/>
            <w:vAlign w:val="center"/>
          </w:tcPr>
          <w:p>
            <w:r>
              <w:rPr>
                <w:rFonts w:ascii="Arial" w:hAnsi="Arial"/>
                <w:sz w:val="18"/>
              </w:rPr>
              <w:t>₹8,450</w:t>
            </w:r>
          </w:p>
        </w:tc>
        <w:tc>
          <w:tcPr>
            <w:tcW w:type="dxa" w:w="3408"/>
            <w:vAlign w:val="center"/>
          </w:tcPr>
          <w:p>
            <w:r>
              <w:rPr>
                <w:rFonts w:ascii="Arial" w:hAnsi="Arial"/>
                <w:sz w:val="18"/>
              </w:rPr>
              <w:t>Critical</w:t>
            </w:r>
          </w:p>
        </w:tc>
      </w:tr>
      <w:tr>
        <w:tc>
          <w:tcPr>
            <w:tcW w:type="dxa" w:w="3408"/>
            <w:vAlign w:val="center"/>
          </w:tcPr>
          <w:p>
            <w:r>
              <w:rPr>
                <w:rFonts w:ascii="Arial" w:hAnsi="Arial"/>
                <w:sz w:val="18"/>
              </w:rPr>
              <w:t>first_emi_due_date</w:t>
            </w:r>
          </w:p>
        </w:tc>
        <w:tc>
          <w:tcPr>
            <w:tcW w:type="dxa" w:w="3408"/>
            <w:vAlign w:val="center"/>
          </w:tcPr>
          <w:p>
            <w:r>
              <w:rPr>
                <w:rFonts w:ascii="Arial" w:hAnsi="Arial"/>
                <w:sz w:val="18"/>
              </w:rPr>
              <w:t>15-Sep-2026</w:t>
            </w:r>
          </w:p>
        </w:tc>
        <w:tc>
          <w:tcPr>
            <w:tcW w:type="dxa" w:w="3408"/>
            <w:vAlign w:val="center"/>
          </w:tcPr>
          <w:p>
            <w:r>
              <w:rPr>
                <w:rFonts w:ascii="Arial" w:hAnsi="Arial"/>
                <w:sz w:val="18"/>
              </w:rPr>
              <w:t>Critical for Post-Disbursement</w:t>
            </w:r>
          </w:p>
        </w:tc>
      </w:tr>
      <w:tr>
        <w:tc>
          <w:tcPr>
            <w:tcW w:type="dxa" w:w="3408"/>
            <w:vAlign w:val="center"/>
          </w:tcPr>
          <w:p>
            <w:r>
              <w:rPr>
                <w:rFonts w:ascii="Arial" w:hAnsi="Arial"/>
                <w:sz w:val="18"/>
              </w:rPr>
              <w:t>due_date</w:t>
            </w:r>
          </w:p>
        </w:tc>
        <w:tc>
          <w:tcPr>
            <w:tcW w:type="dxa" w:w="3408"/>
            <w:vAlign w:val="center"/>
          </w:tcPr>
          <w:p>
            <w:r>
              <w:rPr>
                <w:rFonts w:ascii="Arial" w:hAnsi="Arial"/>
                <w:sz w:val="18"/>
              </w:rPr>
              <w:t>15-Sep-2026</w:t>
            </w:r>
          </w:p>
        </w:tc>
        <w:tc>
          <w:tcPr>
            <w:tcW w:type="dxa" w:w="3408"/>
            <w:vAlign w:val="center"/>
          </w:tcPr>
          <w:p>
            <w:r>
              <w:rPr>
                <w:rFonts w:ascii="Arial" w:hAnsi="Arial"/>
                <w:sz w:val="18"/>
              </w:rPr>
              <w:t>Critical for Pre-Due / Post-Bounce</w:t>
            </w:r>
          </w:p>
        </w:tc>
      </w:tr>
      <w:tr>
        <w:tc>
          <w:tcPr>
            <w:tcW w:type="dxa" w:w="3408"/>
            <w:vAlign w:val="center"/>
          </w:tcPr>
          <w:p>
            <w:r>
              <w:rPr>
                <w:rFonts w:ascii="Arial" w:hAnsi="Arial"/>
                <w:sz w:val="18"/>
              </w:rPr>
              <w:t>total_outstanding_amount</w:t>
            </w:r>
          </w:p>
        </w:tc>
        <w:tc>
          <w:tcPr>
            <w:tcW w:type="dxa" w:w="3408"/>
            <w:vAlign w:val="center"/>
          </w:tcPr>
          <w:p>
            <w:r>
              <w:rPr>
                <w:rFonts w:ascii="Arial" w:hAnsi="Arial"/>
                <w:sz w:val="18"/>
              </w:rPr>
              <w:t>₹8,650</w:t>
            </w:r>
          </w:p>
        </w:tc>
        <w:tc>
          <w:tcPr>
            <w:tcW w:type="dxa" w:w="3408"/>
            <w:vAlign w:val="center"/>
          </w:tcPr>
          <w:p>
            <w:r>
              <w:rPr>
                <w:rFonts w:ascii="Arial" w:hAnsi="Arial"/>
                <w:sz w:val="18"/>
              </w:rPr>
              <w:t>Post-Bounce</w:t>
            </w:r>
          </w:p>
        </w:tc>
      </w:tr>
      <w:tr>
        <w:tc>
          <w:tcPr>
            <w:tcW w:type="dxa" w:w="3408"/>
            <w:vAlign w:val="center"/>
          </w:tcPr>
          <w:p>
            <w:r>
              <w:rPr>
                <w:rFonts w:ascii="Arial" w:hAnsi="Arial"/>
                <w:sz w:val="18"/>
              </w:rPr>
              <w:t>bounce_charges</w:t>
            </w:r>
          </w:p>
        </w:tc>
        <w:tc>
          <w:tcPr>
            <w:tcW w:type="dxa" w:w="3408"/>
            <w:vAlign w:val="center"/>
          </w:tcPr>
          <w:p>
            <w:r>
              <w:rPr>
                <w:rFonts w:ascii="Arial" w:hAnsi="Arial"/>
                <w:sz w:val="18"/>
              </w:rPr>
              <w:t>₹200</w:t>
            </w:r>
          </w:p>
        </w:tc>
        <w:tc>
          <w:tcPr>
            <w:tcW w:type="dxa" w:w="3408"/>
            <w:vAlign w:val="center"/>
          </w:tcPr>
          <w:p>
            <w:r>
              <w:rPr>
                <w:rFonts w:ascii="Arial" w:hAnsi="Arial"/>
                <w:sz w:val="18"/>
              </w:rPr>
              <w:t>Post-Bounce</w:t>
            </w:r>
          </w:p>
        </w:tc>
      </w:tr>
      <w:tr>
        <w:tc>
          <w:tcPr>
            <w:tcW w:type="dxa" w:w="3408"/>
            <w:vAlign w:val="center"/>
          </w:tcPr>
          <w:p>
            <w:r>
              <w:rPr>
                <w:rFonts w:ascii="Arial" w:hAnsi="Arial"/>
                <w:sz w:val="18"/>
              </w:rPr>
              <w:t>payment_link</w:t>
            </w:r>
          </w:p>
        </w:tc>
        <w:tc>
          <w:tcPr>
            <w:tcW w:type="dxa" w:w="3408"/>
            <w:vAlign w:val="center"/>
          </w:tcPr>
          <w:p>
            <w:r>
              <w:rPr>
                <w:rFonts w:ascii="Arial" w:hAnsi="Arial"/>
                <w:sz w:val="18"/>
              </w:rPr>
              <w:t>Dynamic payment URL</w:t>
            </w:r>
          </w:p>
        </w:tc>
        <w:tc>
          <w:tcPr>
            <w:tcW w:type="dxa" w:w="3408"/>
            <w:vAlign w:val="center"/>
          </w:tcPr>
          <w:p>
            <w:r>
              <w:rPr>
                <w:rFonts w:ascii="Arial" w:hAnsi="Arial"/>
                <w:sz w:val="18"/>
              </w:rPr>
              <w:t>Post-Bounce</w:t>
            </w:r>
          </w:p>
        </w:tc>
      </w:tr>
      <w:tr>
        <w:tc>
          <w:tcPr>
            <w:tcW w:type="dxa" w:w="3408"/>
            <w:vAlign w:val="center"/>
          </w:tcPr>
          <w:p>
            <w:r>
              <w:rPr>
                <w:rFonts w:ascii="Arial" w:hAnsi="Arial"/>
                <w:sz w:val="18"/>
              </w:rPr>
              <w:t>repayment_mode</w:t>
            </w:r>
          </w:p>
        </w:tc>
        <w:tc>
          <w:tcPr>
            <w:tcW w:type="dxa" w:w="3408"/>
            <w:vAlign w:val="center"/>
          </w:tcPr>
          <w:p>
            <w:r>
              <w:rPr>
                <w:rFonts w:ascii="Arial" w:hAnsi="Arial"/>
                <w:sz w:val="18"/>
              </w:rPr>
              <w:t>eNACH / NACH / Auto Debit</w:t>
            </w:r>
          </w:p>
        </w:tc>
        <w:tc>
          <w:tcPr>
            <w:tcW w:type="dxa" w:w="3408"/>
            <w:vAlign w:val="center"/>
          </w:tcPr>
          <w:p>
            <w:r>
              <w:rPr>
                <w:rFonts w:ascii="Arial" w:hAnsi="Arial"/>
                <w:sz w:val="18"/>
              </w:rPr>
              <w:t>Optional</w:t>
            </w:r>
          </w:p>
        </w:tc>
      </w:tr>
    </w:tbl>
    <w:p>
      <w:pPr>
        <w:pStyle w:val="Heading1"/>
      </w:pPr>
      <w:r>
        <w:t>5. Campaign 1 – Post-Disbursement WhatsApp</w:t>
      </w:r>
    </w:p>
    <w:p>
      <w:r>
        <w:t>Purpose: Welcome the customer and make the first EMI obligation clear before the first EMI becomes due.</w:t>
      </w:r>
    </w:p>
    <w:p>
      <w:r>
        <w:t>Recommended trigger: Immediately after successful disbursement.</w:t>
      </w:r>
    </w:p>
    <w:p>
      <w:r>
        <w:rPr>
          <w:b/>
        </w:rPr>
        <w:t>Final WhatsApp Script:</w:t>
      </w:r>
    </w:p>
    <w:p>
      <w:r>
        <w:t>Dear {{applicant_name}},</w:t>
        <w:br/>
        <w:br/>
        <w:t>*Welcome to Caprion! Your loan has been successfully disbursed.*</w:t>
        <w:br/>
        <w:br/>
        <w:t>Here are your important repayment details:</w:t>
        <w:br/>
        <w:br/>
        <w:t>💰 *EMI Amount:* ₹{{emi_amount}}</w:t>
        <w:br/>
        <w:t>📅 *FIRST EMI DUE DATE:* {{first_emi_due_date}}</w:t>
        <w:br/>
        <w:t>🆔 *Loan No.:* {{loan_id}}</w:t>
        <w:br/>
        <w:br/>
        <w:t>⚠️ *Please save this message and mark your First EMI Due Date on your calendar.*</w:t>
        <w:br/>
        <w:br/>
        <w:t>Please ensure sufficient balance is maintained in your registered bank account before the due date, as per your repayment mandate.</w:t>
        <w:br/>
        <w:br/>
        <w:t>*Need help?* Simply reply to this WhatsApp message and our team will assist you.</w:t>
        <w:br/>
        <w:br/>
        <w:t>Thank you for choosing Caprion.</w:t>
      </w:r>
    </w:p>
    <w:p>
      <w:pPr>
        <w:pStyle w:val="Heading1"/>
      </w:pPr>
      <w:r>
        <w:t>6. Campaign 2 – Pre-Due WhatsApp</w:t>
      </w:r>
    </w:p>
    <w:p>
      <w:r>
        <w:t>Purpose: Prevent missed EMI / bounce.</w:t>
      </w:r>
    </w:p>
    <w:p>
      <w:r>
        <w:t>Recommended trigger: D-5 to D-3 before EMI due date.</w:t>
      </w:r>
    </w:p>
    <w:p>
      <w:r>
        <w:rPr>
          <w:b/>
        </w:rPr>
        <w:t>Final WhatsApp Script:</w:t>
      </w:r>
    </w:p>
    <w:p>
      <w:r>
        <w:t>Dear {{applicant_name}},</w:t>
        <w:br/>
        <w:br/>
        <w:t>*Reminder: Your EMI of ₹{{emi_amount}} for Loan No. {{loan_id}} is due on {{due_date}}.*</w:t>
        <w:br/>
        <w:br/>
        <w:t>Please ensure sufficient balance is maintained in your registered bank account before the due date, as per your repayment mandate, to avoid a missed EMI and any applicable charges.</w:t>
        <w:br/>
        <w:br/>
        <w:t>*Already made the payment?* You may ignore this message.</w:t>
        <w:br/>
        <w:br/>
        <w:t>Thank you for choosing Caprion.</w:t>
      </w:r>
    </w:p>
    <w:p>
      <w:pPr>
        <w:pStyle w:val="Heading1"/>
      </w:pPr>
      <w:r>
        <w:t>7. Campaign 3 – Post-Bounce WhatsApp</w:t>
      </w:r>
    </w:p>
    <w:p>
      <w:r>
        <w:t>Purpose: Inform the customer of the pending EMI and drive immediate payment or identify the reason for non-payment.</w:t>
      </w:r>
    </w:p>
    <w:p>
      <w:r>
        <w:t>Recommended trigger: D+1 after confirmed bounce.</w:t>
      </w:r>
    </w:p>
    <w:p>
      <w:r>
        <w:rPr>
          <w:b/>
        </w:rPr>
        <w:t>Final WhatsApp Script:</w:t>
      </w:r>
    </w:p>
    <w:p>
      <w:r>
        <w:t>Dear {{applicant_name}},</w:t>
        <w:br/>
        <w:br/>
        <w:t>*Your EMI of ₹{{emi_amount}} for Caprion Loan No. {{loan_id}} is currently pending.*</w:t>
        <w:br/>
        <w:br/>
        <w:t>*Total Outstanding: ₹{{total_outstanding_amount}}*</w:t>
        <w:br/>
        <w:t>Including applicable bounce charges of ₹{{bounce_charges}}.</w:t>
        <w:br/>
        <w:br/>
        <w:t>Please complete your payment at the earliest to regularise your loan account and avoid further applicable charges.</w:t>
        <w:br/>
        <w:br/>
        <w:t>*Pay Now: {{payment_link}}*</w:t>
        <w:br/>
        <w:br/>
        <w:t>*Already made the payment?* Reply *"PAID"* and our team will assist you.</w:t>
        <w:br/>
        <w:br/>
        <w:t>Thank you for choosing Caprion.</w:t>
      </w:r>
    </w:p>
    <w:p>
      <w:pPr>
        <w:pStyle w:val="Heading1"/>
      </w:pPr>
      <w:r>
        <w:t>8. AI WhatsApp Agent – Knowledge &amp; Answering Rules</w:t>
      </w:r>
    </w:p>
    <w:p>
      <w:pPr>
        <w:pStyle w:val="ListBullet"/>
      </w:pPr>
      <w:r>
        <w:t>The Google Sheet is the source of customer-specific loan information.</w:t>
      </w:r>
    </w:p>
    <w:p>
      <w:pPr>
        <w:pStyle w:val="ListBullet"/>
      </w:pPr>
      <w:r>
        <w:t>The AI Agent may answer only questions for which the required information is available in the Google Sheet or in a separate approved Caprion FAQ/knowledge document.</w:t>
      </w:r>
    </w:p>
    <w:p>
      <w:pPr>
        <w:pStyle w:val="ListBullet"/>
      </w:pPr>
      <w:r>
        <w:t>If the answer is not available in the Google Sheet or approved knowledge, the AI Agent must NOT guess, infer or manufacture an answer.</w:t>
      </w:r>
    </w:p>
    <w:p>
      <w:pPr>
        <w:pStyle w:val="ListBullet"/>
      </w:pPr>
      <w:r>
        <w:t>If the customer asks for information that is unavailable, the agent should respond: “I’m sorry, I don’t have that information available here. We will arrange a callback from our team to assist you.”</w:t>
      </w:r>
    </w:p>
    <w:p>
      <w:pPr>
        <w:pStyle w:val="ListBullet"/>
      </w:pPr>
      <w:r>
        <w:t>The agent should create/mark a CALLBACK REQUIRED flag and capture the customer's question/reason for callback.</w:t>
      </w:r>
    </w:p>
    <w:p>
      <w:pPr>
        <w:pStyle w:val="ListBullet"/>
      </w:pPr>
      <w:r>
        <w:t>If the customer asks for a human, the agent should also mark CALLBACK REQUIRED.</w:t>
      </w:r>
    </w:p>
    <w:p>
      <w:pPr>
        <w:pStyle w:val="ListBullet"/>
      </w:pPr>
      <w:r>
        <w:t>The agent should not change EMI amount, due date, outstanding amount, charges, loan status or payment status based only on the customer's statement.</w:t>
      </w:r>
    </w:p>
    <w:p>
      <w:pPr>
        <w:pStyle w:val="ListBullet"/>
      </w:pPr>
      <w:r>
        <w:t>The agent should not promise waiver, reversal, settlement, restructuring, extension or any other concession unless that specific information/authority is explicitly provided in the approved knowledge.</w:t>
      </w:r>
    </w:p>
    <w:p>
      <w:pPr>
        <w:pStyle w:val="ListBullet"/>
      </w:pPr>
      <w:r>
        <w:t>The agent should not provide information belonging to another customer or another loan.</w:t>
      </w:r>
    </w:p>
    <w:p>
      <w:pPr>
        <w:pStyle w:val="Heading1"/>
      </w:pPr>
      <w:r>
        <w:t>9. Standard Fallback Response</w:t>
      </w:r>
    </w:p>
    <w:p>
      <w:r>
        <w:t>Use when the customer asks something outside the available Google Sheet / approved knowledge:</w:t>
      </w:r>
    </w:p>
    <w:p>
      <w:r>
        <w:rPr>
          <w:b/>
        </w:rPr>
        <w:t xml:space="preserve">Recommended response: </w:t>
      </w:r>
      <w:r>
        <w:t>“I’m sorry, I don’t have that information available here. We will arrange a callback from our team to assist you. I have noted your request.”</w:t>
      </w:r>
    </w:p>
    <w:p>
      <w:r>
        <w:t>The agent must also capture the customer's exact question/reason in the feedback sheet and set CALLBACK_REQUIRED = YES.</w:t>
      </w:r>
    </w:p>
    <w:p>
      <w:pPr>
        <w:pStyle w:val="Heading1"/>
      </w:pPr>
      <w:r>
        <w:t>10. Customer Feedback Classification</w:t>
      </w:r>
    </w:p>
    <w:p>
      <w:r>
        <w:t>Every meaningful customer response must be classified into a standard category so that the collections team can quickly read the portfolio and identify the reason for non-payment.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Primary Classification</w:t>
            </w:r>
          </w:p>
        </w:tc>
        <w:tc>
          <w:tcPr>
            <w:tcW w:type="dxa" w:w="3408"/>
            <w:vAlign w:val="center"/>
          </w:tcPr>
          <w:p>
            <w:r>
              <w:rPr>
                <w:rFonts w:ascii="Arial" w:hAnsi="Arial"/>
                <w:sz w:val="18"/>
              </w:rPr>
              <w:t>Examples</w:t>
            </w:r>
          </w:p>
        </w:tc>
        <w:tc>
          <w:tcPr>
            <w:tcW w:type="dxa" w:w="3408"/>
            <w:vAlign w:val="center"/>
          </w:tcPr>
          <w:p>
            <w:r>
              <w:rPr>
                <w:rFonts w:ascii="Arial" w:hAnsi="Arial"/>
                <w:sz w:val="18"/>
              </w:rPr>
              <w:t>Required Agent Action</w:t>
            </w:r>
          </w:p>
        </w:tc>
      </w:tr>
      <w:tr>
        <w:tc>
          <w:tcPr>
            <w:tcW w:type="dxa" w:w="3408"/>
            <w:vAlign w:val="center"/>
          </w:tcPr>
          <w:p>
            <w:r>
              <w:rPr>
                <w:rFonts w:ascii="Arial" w:hAnsi="Arial"/>
                <w:sz w:val="18"/>
              </w:rPr>
              <w:t>PTP – Promise to Pay</w:t>
            </w:r>
          </w:p>
        </w:tc>
        <w:tc>
          <w:tcPr>
            <w:tcW w:type="dxa" w:w="3408"/>
            <w:vAlign w:val="center"/>
          </w:tcPr>
          <w:p>
            <w:r>
              <w:rPr>
                <w:rFonts w:ascii="Arial" w:hAnsi="Arial"/>
                <w:sz w:val="18"/>
              </w:rPr>
              <w:t>“I will pay today/tomorrow/on 15th.”</w:t>
            </w:r>
          </w:p>
        </w:tc>
        <w:tc>
          <w:tcPr>
            <w:tcW w:type="dxa" w:w="3408"/>
            <w:vAlign w:val="center"/>
          </w:tcPr>
          <w:p>
            <w:r>
              <w:rPr>
                <w:rFonts w:ascii="Arial" w:hAnsi="Arial"/>
                <w:sz w:val="18"/>
              </w:rPr>
              <w:t>Capture promised payment date/time where possible; mark PTP.</w:t>
            </w:r>
          </w:p>
        </w:tc>
      </w:tr>
      <w:tr>
        <w:tc>
          <w:tcPr>
            <w:tcW w:type="dxa" w:w="3408"/>
            <w:vAlign w:val="center"/>
          </w:tcPr>
          <w:p>
            <w:r>
              <w:rPr>
                <w:rFonts w:ascii="Arial" w:hAnsi="Arial"/>
                <w:sz w:val="18"/>
              </w:rPr>
              <w:t>Payment Issue</w:t>
            </w:r>
          </w:p>
        </w:tc>
        <w:tc>
          <w:tcPr>
            <w:tcW w:type="dxa" w:w="3408"/>
            <w:vAlign w:val="center"/>
          </w:tcPr>
          <w:p>
            <w:r>
              <w:rPr>
                <w:rFonts w:ascii="Arial" w:hAnsi="Arial"/>
                <w:sz w:val="18"/>
              </w:rPr>
              <w:t>Payment failed, NACH issue, bank issue, payment link issue, payment already made but not updated.</w:t>
            </w:r>
          </w:p>
        </w:tc>
        <w:tc>
          <w:tcPr>
            <w:tcW w:type="dxa" w:w="3408"/>
            <w:vAlign w:val="center"/>
          </w:tcPr>
          <w:p>
            <w:r>
              <w:rPr>
                <w:rFonts w:ascii="Arial" w:hAnsi="Arial"/>
                <w:sz w:val="18"/>
              </w:rPr>
              <w:t>Capture issue; provide approved guidance or callback if unresolved.</w:t>
            </w:r>
          </w:p>
        </w:tc>
      </w:tr>
      <w:tr>
        <w:tc>
          <w:tcPr>
            <w:tcW w:type="dxa" w:w="3408"/>
            <w:vAlign w:val="center"/>
          </w:tcPr>
          <w:p>
            <w:r>
              <w:rPr>
                <w:rFonts w:ascii="Arial" w:hAnsi="Arial"/>
                <w:sz w:val="18"/>
              </w:rPr>
              <w:t>Can't Pay</w:t>
            </w:r>
          </w:p>
        </w:tc>
        <w:tc>
          <w:tcPr>
            <w:tcW w:type="dxa" w:w="3408"/>
            <w:vAlign w:val="center"/>
          </w:tcPr>
          <w:p>
            <w:r>
              <w:rPr>
                <w:rFonts w:ascii="Arial" w:hAnsi="Arial"/>
                <w:sz w:val="18"/>
              </w:rPr>
              <w:t>Insufficient funds, salary delay, financial difficulty, unable to pay now.</w:t>
            </w:r>
          </w:p>
        </w:tc>
        <w:tc>
          <w:tcPr>
            <w:tcW w:type="dxa" w:w="3408"/>
            <w:vAlign w:val="center"/>
          </w:tcPr>
          <w:p>
            <w:r>
              <w:rPr>
                <w:rFonts w:ascii="Arial" w:hAnsi="Arial"/>
                <w:sz w:val="18"/>
              </w:rPr>
              <w:t>Capture reason and requested/committed payment date if any; route as per collection policy.</w:t>
            </w:r>
          </w:p>
        </w:tc>
      </w:tr>
      <w:tr>
        <w:tc>
          <w:tcPr>
            <w:tcW w:type="dxa" w:w="3408"/>
            <w:vAlign w:val="center"/>
          </w:tcPr>
          <w:p>
            <w:r>
              <w:rPr>
                <w:rFonts w:ascii="Arial" w:hAnsi="Arial"/>
                <w:sz w:val="18"/>
              </w:rPr>
              <w:t>Paid / Payment Already Made</w:t>
            </w:r>
          </w:p>
        </w:tc>
        <w:tc>
          <w:tcPr>
            <w:tcW w:type="dxa" w:w="3408"/>
            <w:vAlign w:val="center"/>
          </w:tcPr>
          <w:p>
            <w:r>
              <w:rPr>
                <w:rFonts w:ascii="Arial" w:hAnsi="Arial"/>
                <w:sz w:val="18"/>
              </w:rPr>
              <w:t>Customer says payment has already been made.</w:t>
            </w:r>
          </w:p>
        </w:tc>
        <w:tc>
          <w:tcPr>
            <w:tcW w:type="dxa" w:w="3408"/>
            <w:vAlign w:val="center"/>
          </w:tcPr>
          <w:p>
            <w:r>
              <w:rPr>
                <w:rFonts w:ascii="Arial" w:hAnsi="Arial"/>
                <w:sz w:val="18"/>
              </w:rPr>
              <w:t>Capture payment date/reference if available; mark for payment verification.</w:t>
            </w:r>
          </w:p>
        </w:tc>
      </w:tr>
      <w:tr>
        <w:tc>
          <w:tcPr>
            <w:tcW w:type="dxa" w:w="3408"/>
            <w:vAlign w:val="center"/>
          </w:tcPr>
          <w:p>
            <w:r>
              <w:rPr>
                <w:rFonts w:ascii="Arial" w:hAnsi="Arial"/>
                <w:sz w:val="18"/>
              </w:rPr>
              <w:t>Due Date Query</w:t>
            </w:r>
          </w:p>
        </w:tc>
        <w:tc>
          <w:tcPr>
            <w:tcW w:type="dxa" w:w="3408"/>
            <w:vAlign w:val="center"/>
          </w:tcPr>
          <w:p>
            <w:r>
              <w:rPr>
                <w:rFonts w:ascii="Arial" w:hAnsi="Arial"/>
                <w:sz w:val="18"/>
              </w:rPr>
              <w:t>Customer asks when EMI is due / says they were unaware of due date.</w:t>
            </w:r>
          </w:p>
        </w:tc>
        <w:tc>
          <w:tcPr>
            <w:tcW w:type="dxa" w:w="3408"/>
            <w:vAlign w:val="center"/>
          </w:tcPr>
          <w:p>
            <w:r>
              <w:rPr>
                <w:rFonts w:ascii="Arial" w:hAnsi="Arial"/>
                <w:sz w:val="18"/>
              </w:rPr>
              <w:t>Provide due date from sheet; record awareness feedback.</w:t>
            </w:r>
          </w:p>
        </w:tc>
      </w:tr>
      <w:tr>
        <w:tc>
          <w:tcPr>
            <w:tcW w:type="dxa" w:w="3408"/>
            <w:vAlign w:val="center"/>
          </w:tcPr>
          <w:p>
            <w:r>
              <w:rPr>
                <w:rFonts w:ascii="Arial" w:hAnsi="Arial"/>
                <w:sz w:val="18"/>
              </w:rPr>
              <w:t>Outstanding / Loan Query</w:t>
            </w:r>
          </w:p>
        </w:tc>
        <w:tc>
          <w:tcPr>
            <w:tcW w:type="dxa" w:w="3408"/>
            <w:vAlign w:val="center"/>
          </w:tcPr>
          <w:p>
            <w:r>
              <w:rPr>
                <w:rFonts w:ascii="Arial" w:hAnsi="Arial"/>
                <w:sz w:val="18"/>
              </w:rPr>
              <w:t>Customer disputes amount or asks for loan details not available.</w:t>
            </w:r>
          </w:p>
        </w:tc>
        <w:tc>
          <w:tcPr>
            <w:tcW w:type="dxa" w:w="3408"/>
            <w:vAlign w:val="center"/>
          </w:tcPr>
          <w:p>
            <w:r>
              <w:rPr>
                <w:rFonts w:ascii="Arial" w:hAnsi="Arial"/>
                <w:sz w:val="18"/>
              </w:rPr>
              <w:t>Answer only if available; otherwise CALLBACK_REQUIRED.</w:t>
            </w:r>
          </w:p>
        </w:tc>
      </w:tr>
      <w:tr>
        <w:tc>
          <w:tcPr>
            <w:tcW w:type="dxa" w:w="3408"/>
            <w:vAlign w:val="center"/>
          </w:tcPr>
          <w:p>
            <w:r>
              <w:rPr>
                <w:rFonts w:ascii="Arial" w:hAnsi="Arial"/>
                <w:sz w:val="18"/>
              </w:rPr>
              <w:t>Callback Required</w:t>
            </w:r>
          </w:p>
        </w:tc>
        <w:tc>
          <w:tcPr>
            <w:tcW w:type="dxa" w:w="3408"/>
            <w:vAlign w:val="center"/>
          </w:tcPr>
          <w:p>
            <w:r>
              <w:rPr>
                <w:rFonts w:ascii="Arial" w:hAnsi="Arial"/>
                <w:sz w:val="18"/>
              </w:rPr>
              <w:t>Customer requests human support or asks a question outside available data.</w:t>
            </w:r>
          </w:p>
        </w:tc>
        <w:tc>
          <w:tcPr>
            <w:tcW w:type="dxa" w:w="3408"/>
            <w:vAlign w:val="center"/>
          </w:tcPr>
          <w:p>
            <w:r>
              <w:rPr>
                <w:rFonts w:ascii="Arial" w:hAnsi="Arial"/>
                <w:sz w:val="18"/>
              </w:rPr>
              <w:t>Create callback flag and capture reason/question.</w:t>
            </w:r>
          </w:p>
        </w:tc>
      </w:tr>
      <w:tr>
        <w:tc>
          <w:tcPr>
            <w:tcW w:type="dxa" w:w="3408"/>
            <w:vAlign w:val="center"/>
          </w:tcPr>
          <w:p>
            <w:r>
              <w:rPr>
                <w:rFonts w:ascii="Arial" w:hAnsi="Arial"/>
                <w:sz w:val="18"/>
              </w:rPr>
              <w:t>Refusal / Not Willing to Pay</w:t>
            </w:r>
          </w:p>
        </w:tc>
        <w:tc>
          <w:tcPr>
            <w:tcW w:type="dxa" w:w="3408"/>
            <w:vAlign w:val="center"/>
          </w:tcPr>
          <w:p>
            <w:r>
              <w:rPr>
                <w:rFonts w:ascii="Arial" w:hAnsi="Arial"/>
                <w:sz w:val="18"/>
              </w:rPr>
              <w:t>Customer explicitly refuses payment.</w:t>
            </w:r>
          </w:p>
        </w:tc>
        <w:tc>
          <w:tcPr>
            <w:tcW w:type="dxa" w:w="3408"/>
            <w:vAlign w:val="center"/>
          </w:tcPr>
          <w:p>
            <w:r>
              <w:rPr>
                <w:rFonts w:ascii="Arial" w:hAnsi="Arial"/>
                <w:sz w:val="18"/>
              </w:rPr>
              <w:t>Capture reason/remark and route per collection policy.</w:t>
            </w:r>
          </w:p>
        </w:tc>
      </w:tr>
      <w:tr>
        <w:tc>
          <w:tcPr>
            <w:tcW w:type="dxa" w:w="3408"/>
            <w:vAlign w:val="center"/>
          </w:tcPr>
          <w:p>
            <w:r>
              <w:rPr>
                <w:rFonts w:ascii="Arial" w:hAnsi="Arial"/>
                <w:sz w:val="18"/>
              </w:rPr>
              <w:t>Wrong Number / Customer Not Reachable</w:t>
            </w:r>
          </w:p>
        </w:tc>
        <w:tc>
          <w:tcPr>
            <w:tcW w:type="dxa" w:w="3408"/>
            <w:vAlign w:val="center"/>
          </w:tcPr>
          <w:p>
            <w:r>
              <w:rPr>
                <w:rFonts w:ascii="Arial" w:hAnsi="Arial"/>
                <w:sz w:val="18"/>
              </w:rPr>
              <w:t>Wrong person, number not belonging to borrower, invalid contact.</w:t>
            </w:r>
          </w:p>
        </w:tc>
        <w:tc>
          <w:tcPr>
            <w:tcW w:type="dxa" w:w="3408"/>
            <w:vAlign w:val="center"/>
          </w:tcPr>
          <w:p>
            <w:r>
              <w:rPr>
                <w:rFonts w:ascii="Arial" w:hAnsi="Arial"/>
                <w:sz w:val="18"/>
              </w:rPr>
              <w:t>Mark disposition accordingly; do not disclose loan details.</w:t>
            </w:r>
          </w:p>
        </w:tc>
      </w:tr>
      <w:tr>
        <w:tc>
          <w:tcPr>
            <w:tcW w:type="dxa" w:w="3408"/>
            <w:vAlign w:val="center"/>
          </w:tcPr>
          <w:p>
            <w:r>
              <w:rPr>
                <w:rFonts w:ascii="Arial" w:hAnsi="Arial"/>
                <w:sz w:val="18"/>
              </w:rPr>
              <w:t>Other</w:t>
            </w:r>
          </w:p>
        </w:tc>
        <w:tc>
          <w:tcPr>
            <w:tcW w:type="dxa" w:w="3408"/>
            <w:vAlign w:val="center"/>
          </w:tcPr>
          <w:p>
            <w:r>
              <w:rPr>
                <w:rFonts w:ascii="Arial" w:hAnsi="Arial"/>
                <w:sz w:val="18"/>
              </w:rPr>
              <w:t>Any response not fitting the above categories.</w:t>
            </w:r>
          </w:p>
        </w:tc>
        <w:tc>
          <w:tcPr>
            <w:tcW w:type="dxa" w:w="3408"/>
            <w:vAlign w:val="center"/>
          </w:tcPr>
          <w:p>
            <w:r>
              <w:rPr>
                <w:rFonts w:ascii="Arial" w:hAnsi="Arial"/>
                <w:sz w:val="18"/>
              </w:rPr>
              <w:t>Capture exact customer feedback.</w:t>
            </w:r>
          </w:p>
        </w:tc>
      </w:tr>
    </w:tbl>
    <w:p>
      <w:pPr>
        <w:pStyle w:val="Heading1"/>
      </w:pPr>
      <w:r>
        <w:t>11. Google Sheet – Output / Feedback Columns</w:t>
      </w:r>
    </w:p>
    <w:p>
      <w:r>
        <w:t>The campaign team should update the output fields after every meaningful customer interaction.</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Column</w:t>
            </w:r>
          </w:p>
        </w:tc>
        <w:tc>
          <w:tcPr>
            <w:tcW w:type="dxa" w:w="3408"/>
            <w:vAlign w:val="center"/>
          </w:tcPr>
          <w:p>
            <w:r>
              <w:rPr>
                <w:rFonts w:ascii="Arial" w:hAnsi="Arial"/>
                <w:sz w:val="18"/>
              </w:rPr>
              <w:t>Example</w:t>
            </w:r>
          </w:p>
        </w:tc>
        <w:tc>
          <w:tcPr>
            <w:tcW w:type="dxa" w:w="3408"/>
            <w:vAlign w:val="center"/>
          </w:tcPr>
          <w:p>
            <w:r>
              <w:rPr>
                <w:rFonts w:ascii="Arial" w:hAnsi="Arial"/>
                <w:sz w:val="18"/>
              </w:rPr>
              <w:t>Mandatory?</w:t>
            </w:r>
          </w:p>
        </w:tc>
      </w:tr>
      <w:tr>
        <w:tc>
          <w:tcPr>
            <w:tcW w:type="dxa" w:w="3408"/>
            <w:vAlign w:val="center"/>
          </w:tcPr>
          <w:p>
            <w:r>
              <w:rPr>
                <w:rFonts w:ascii="Arial" w:hAnsi="Arial"/>
                <w:sz w:val="18"/>
              </w:rPr>
              <w:t>campaign_sent_date_time</w:t>
            </w:r>
          </w:p>
        </w:tc>
        <w:tc>
          <w:tcPr>
            <w:tcW w:type="dxa" w:w="3408"/>
            <w:vAlign w:val="center"/>
          </w:tcPr>
          <w:p>
            <w:r>
              <w:rPr>
                <w:rFonts w:ascii="Arial" w:hAnsi="Arial"/>
                <w:sz w:val="18"/>
              </w:rPr>
              <w:t>10-Aug-2026 10:30</w:t>
            </w:r>
          </w:p>
        </w:tc>
        <w:tc>
          <w:tcPr>
            <w:tcW w:type="dxa" w:w="3408"/>
            <w:vAlign w:val="center"/>
          </w:tcPr>
          <w:p>
            <w:r>
              <w:rPr>
                <w:rFonts w:ascii="Arial" w:hAnsi="Arial"/>
                <w:sz w:val="18"/>
              </w:rPr>
              <w:t>Yes</w:t>
            </w:r>
          </w:p>
        </w:tc>
      </w:tr>
      <w:tr>
        <w:tc>
          <w:tcPr>
            <w:tcW w:type="dxa" w:w="3408"/>
            <w:vAlign w:val="center"/>
          </w:tcPr>
          <w:p>
            <w:r>
              <w:rPr>
                <w:rFonts w:ascii="Arial" w:hAnsi="Arial"/>
                <w:sz w:val="18"/>
              </w:rPr>
              <w:t>message_delivered</w:t>
            </w:r>
          </w:p>
        </w:tc>
        <w:tc>
          <w:tcPr>
            <w:tcW w:type="dxa" w:w="3408"/>
            <w:vAlign w:val="center"/>
          </w:tcPr>
          <w:p>
            <w:r>
              <w:rPr>
                <w:rFonts w:ascii="Arial" w:hAnsi="Arial"/>
                <w:sz w:val="18"/>
              </w:rPr>
              <w:t>YES / NO</w:t>
            </w:r>
          </w:p>
        </w:tc>
        <w:tc>
          <w:tcPr>
            <w:tcW w:type="dxa" w:w="3408"/>
            <w:vAlign w:val="center"/>
          </w:tcPr>
          <w:p>
            <w:r>
              <w:rPr>
                <w:rFonts w:ascii="Arial" w:hAnsi="Arial"/>
                <w:sz w:val="18"/>
              </w:rPr>
              <w:t>Yes</w:t>
            </w:r>
          </w:p>
        </w:tc>
      </w:tr>
      <w:tr>
        <w:tc>
          <w:tcPr>
            <w:tcW w:type="dxa" w:w="3408"/>
            <w:vAlign w:val="center"/>
          </w:tcPr>
          <w:p>
            <w:r>
              <w:rPr>
                <w:rFonts w:ascii="Arial" w:hAnsi="Arial"/>
                <w:sz w:val="18"/>
              </w:rPr>
              <w:t>customer_replied</w:t>
            </w:r>
          </w:p>
        </w:tc>
        <w:tc>
          <w:tcPr>
            <w:tcW w:type="dxa" w:w="3408"/>
            <w:vAlign w:val="center"/>
          </w:tcPr>
          <w:p>
            <w:r>
              <w:rPr>
                <w:rFonts w:ascii="Arial" w:hAnsi="Arial"/>
                <w:sz w:val="18"/>
              </w:rPr>
              <w:t>YES / NO</w:t>
            </w:r>
          </w:p>
        </w:tc>
        <w:tc>
          <w:tcPr>
            <w:tcW w:type="dxa" w:w="3408"/>
            <w:vAlign w:val="center"/>
          </w:tcPr>
          <w:p>
            <w:r>
              <w:rPr>
                <w:rFonts w:ascii="Arial" w:hAnsi="Arial"/>
                <w:sz w:val="18"/>
              </w:rPr>
              <w:t>Yes</w:t>
            </w:r>
          </w:p>
        </w:tc>
      </w:tr>
      <w:tr>
        <w:tc>
          <w:tcPr>
            <w:tcW w:type="dxa" w:w="3408"/>
            <w:vAlign w:val="center"/>
          </w:tcPr>
          <w:p>
            <w:r>
              <w:rPr>
                <w:rFonts w:ascii="Arial" w:hAnsi="Arial"/>
                <w:sz w:val="18"/>
              </w:rPr>
              <w:t>primary_classification</w:t>
            </w:r>
          </w:p>
        </w:tc>
        <w:tc>
          <w:tcPr>
            <w:tcW w:type="dxa" w:w="3408"/>
            <w:vAlign w:val="center"/>
          </w:tcPr>
          <w:p>
            <w:r>
              <w:rPr>
                <w:rFonts w:ascii="Arial" w:hAnsi="Arial"/>
                <w:sz w:val="18"/>
              </w:rPr>
              <w:t>PTP / Payment Issue / Can't Pay / etc.</w:t>
            </w:r>
          </w:p>
        </w:tc>
        <w:tc>
          <w:tcPr>
            <w:tcW w:type="dxa" w:w="3408"/>
            <w:vAlign w:val="center"/>
          </w:tcPr>
          <w:p>
            <w:r>
              <w:rPr>
                <w:rFonts w:ascii="Arial" w:hAnsi="Arial"/>
                <w:sz w:val="18"/>
              </w:rPr>
              <w:t>Yes if replied</w:t>
            </w:r>
          </w:p>
        </w:tc>
      </w:tr>
      <w:tr>
        <w:tc>
          <w:tcPr>
            <w:tcW w:type="dxa" w:w="3408"/>
            <w:vAlign w:val="center"/>
          </w:tcPr>
          <w:p>
            <w:r>
              <w:rPr>
                <w:rFonts w:ascii="Arial" w:hAnsi="Arial"/>
                <w:sz w:val="18"/>
              </w:rPr>
              <w:t>customer_feedback</w:t>
            </w:r>
          </w:p>
        </w:tc>
        <w:tc>
          <w:tcPr>
            <w:tcW w:type="dxa" w:w="3408"/>
            <w:vAlign w:val="center"/>
          </w:tcPr>
          <w:p>
            <w:r>
              <w:rPr>
                <w:rFonts w:ascii="Arial" w:hAnsi="Arial"/>
                <w:sz w:val="18"/>
              </w:rPr>
              <w:t>“Will pay after salary on 5th.”</w:t>
            </w:r>
          </w:p>
        </w:tc>
        <w:tc>
          <w:tcPr>
            <w:tcW w:type="dxa" w:w="3408"/>
            <w:vAlign w:val="center"/>
          </w:tcPr>
          <w:p>
            <w:r>
              <w:rPr>
                <w:rFonts w:ascii="Arial" w:hAnsi="Arial"/>
                <w:sz w:val="18"/>
              </w:rPr>
              <w:t>Yes if replied</w:t>
            </w:r>
          </w:p>
        </w:tc>
      </w:tr>
      <w:tr>
        <w:tc>
          <w:tcPr>
            <w:tcW w:type="dxa" w:w="3408"/>
            <w:vAlign w:val="center"/>
          </w:tcPr>
          <w:p>
            <w:r>
              <w:rPr>
                <w:rFonts w:ascii="Arial" w:hAnsi="Arial"/>
                <w:sz w:val="18"/>
              </w:rPr>
              <w:t>ptp_date</w:t>
            </w:r>
          </w:p>
        </w:tc>
        <w:tc>
          <w:tcPr>
            <w:tcW w:type="dxa" w:w="3408"/>
            <w:vAlign w:val="center"/>
          </w:tcPr>
          <w:p>
            <w:r>
              <w:rPr>
                <w:rFonts w:ascii="Arial" w:hAnsi="Arial"/>
                <w:sz w:val="18"/>
              </w:rPr>
              <w:t>05-Sep-2026</w:t>
            </w:r>
          </w:p>
        </w:tc>
        <w:tc>
          <w:tcPr>
            <w:tcW w:type="dxa" w:w="3408"/>
            <w:vAlign w:val="center"/>
          </w:tcPr>
          <w:p>
            <w:r>
              <w:rPr>
                <w:rFonts w:ascii="Arial" w:hAnsi="Arial"/>
                <w:sz w:val="18"/>
              </w:rPr>
              <w:t>If PTP</w:t>
            </w:r>
          </w:p>
        </w:tc>
      </w:tr>
      <w:tr>
        <w:tc>
          <w:tcPr>
            <w:tcW w:type="dxa" w:w="3408"/>
            <w:vAlign w:val="center"/>
          </w:tcPr>
          <w:p>
            <w:r>
              <w:rPr>
                <w:rFonts w:ascii="Arial" w:hAnsi="Arial"/>
                <w:sz w:val="18"/>
              </w:rPr>
              <w:t>payment_issue_type</w:t>
            </w:r>
          </w:p>
        </w:tc>
        <w:tc>
          <w:tcPr>
            <w:tcW w:type="dxa" w:w="3408"/>
            <w:vAlign w:val="center"/>
          </w:tcPr>
          <w:p>
            <w:r>
              <w:rPr>
                <w:rFonts w:ascii="Arial" w:hAnsi="Arial"/>
                <w:sz w:val="18"/>
              </w:rPr>
              <w:t>NACH failed / payment link / bank issue</w:t>
            </w:r>
          </w:p>
        </w:tc>
        <w:tc>
          <w:tcPr>
            <w:tcW w:type="dxa" w:w="3408"/>
            <w:vAlign w:val="center"/>
          </w:tcPr>
          <w:p>
            <w:r>
              <w:rPr>
                <w:rFonts w:ascii="Arial" w:hAnsi="Arial"/>
                <w:sz w:val="18"/>
              </w:rPr>
              <w:t>If applicable</w:t>
            </w:r>
          </w:p>
        </w:tc>
      </w:tr>
      <w:tr>
        <w:tc>
          <w:tcPr>
            <w:tcW w:type="dxa" w:w="3408"/>
            <w:vAlign w:val="center"/>
          </w:tcPr>
          <w:p>
            <w:r>
              <w:rPr>
                <w:rFonts w:ascii="Arial" w:hAnsi="Arial"/>
                <w:sz w:val="18"/>
              </w:rPr>
              <w:t>callback_required</w:t>
            </w:r>
          </w:p>
        </w:tc>
        <w:tc>
          <w:tcPr>
            <w:tcW w:type="dxa" w:w="3408"/>
            <w:vAlign w:val="center"/>
          </w:tcPr>
          <w:p>
            <w:r>
              <w:rPr>
                <w:rFonts w:ascii="Arial" w:hAnsi="Arial"/>
                <w:sz w:val="18"/>
              </w:rPr>
              <w:t>YES / NO</w:t>
            </w:r>
          </w:p>
        </w:tc>
        <w:tc>
          <w:tcPr>
            <w:tcW w:type="dxa" w:w="3408"/>
            <w:vAlign w:val="center"/>
          </w:tcPr>
          <w:p>
            <w:r>
              <w:rPr>
                <w:rFonts w:ascii="Arial" w:hAnsi="Arial"/>
                <w:sz w:val="18"/>
              </w:rPr>
              <w:t>Yes</w:t>
            </w:r>
          </w:p>
        </w:tc>
      </w:tr>
      <w:tr>
        <w:tc>
          <w:tcPr>
            <w:tcW w:type="dxa" w:w="3408"/>
            <w:vAlign w:val="center"/>
          </w:tcPr>
          <w:p>
            <w:r>
              <w:rPr>
                <w:rFonts w:ascii="Arial" w:hAnsi="Arial"/>
                <w:sz w:val="18"/>
              </w:rPr>
              <w:t>callback_reason</w:t>
            </w:r>
          </w:p>
        </w:tc>
        <w:tc>
          <w:tcPr>
            <w:tcW w:type="dxa" w:w="3408"/>
            <w:vAlign w:val="center"/>
          </w:tcPr>
          <w:p>
            <w:r>
              <w:rPr>
                <w:rFonts w:ascii="Arial" w:hAnsi="Arial"/>
                <w:sz w:val="18"/>
              </w:rPr>
              <w:t>Customer asks for statement not available in sheet</w:t>
            </w:r>
          </w:p>
        </w:tc>
        <w:tc>
          <w:tcPr>
            <w:tcW w:type="dxa" w:w="3408"/>
            <w:vAlign w:val="center"/>
          </w:tcPr>
          <w:p>
            <w:r>
              <w:rPr>
                <w:rFonts w:ascii="Arial" w:hAnsi="Arial"/>
                <w:sz w:val="18"/>
              </w:rPr>
              <w:t>If callback</w:t>
            </w:r>
          </w:p>
        </w:tc>
      </w:tr>
      <w:tr>
        <w:tc>
          <w:tcPr>
            <w:tcW w:type="dxa" w:w="3408"/>
            <w:vAlign w:val="center"/>
          </w:tcPr>
          <w:p>
            <w:r>
              <w:rPr>
                <w:rFonts w:ascii="Arial" w:hAnsi="Arial"/>
                <w:sz w:val="18"/>
              </w:rPr>
              <w:t>payment_status_feedback</w:t>
            </w:r>
          </w:p>
        </w:tc>
        <w:tc>
          <w:tcPr>
            <w:tcW w:type="dxa" w:w="3408"/>
            <w:vAlign w:val="center"/>
          </w:tcPr>
          <w:p>
            <w:r>
              <w:rPr>
                <w:rFonts w:ascii="Arial" w:hAnsi="Arial"/>
                <w:sz w:val="18"/>
              </w:rPr>
              <w:t>Paid / Pending / Unknown</w:t>
            </w:r>
          </w:p>
        </w:tc>
        <w:tc>
          <w:tcPr>
            <w:tcW w:type="dxa" w:w="3408"/>
            <w:vAlign w:val="center"/>
          </w:tcPr>
          <w:p>
            <w:r>
              <w:rPr>
                <w:rFonts w:ascii="Arial" w:hAnsi="Arial"/>
                <w:sz w:val="18"/>
              </w:rPr>
              <w:t>If applicable</w:t>
            </w:r>
          </w:p>
        </w:tc>
      </w:tr>
      <w:tr>
        <w:tc>
          <w:tcPr>
            <w:tcW w:type="dxa" w:w="3408"/>
            <w:vAlign w:val="center"/>
          </w:tcPr>
          <w:p>
            <w:r>
              <w:rPr>
                <w:rFonts w:ascii="Arial" w:hAnsi="Arial"/>
                <w:sz w:val="18"/>
              </w:rPr>
              <w:t>agent_disposition</w:t>
            </w:r>
          </w:p>
        </w:tc>
        <w:tc>
          <w:tcPr>
            <w:tcW w:type="dxa" w:w="3408"/>
            <w:vAlign w:val="center"/>
          </w:tcPr>
          <w:p>
            <w:r>
              <w:rPr>
                <w:rFonts w:ascii="Arial" w:hAnsi="Arial"/>
                <w:sz w:val="18"/>
              </w:rPr>
              <w:t>Resolved / Callback / PTP / Escalated</w:t>
            </w:r>
          </w:p>
        </w:tc>
        <w:tc>
          <w:tcPr>
            <w:tcW w:type="dxa" w:w="3408"/>
            <w:vAlign w:val="center"/>
          </w:tcPr>
          <w:p>
            <w:r>
              <w:rPr>
                <w:rFonts w:ascii="Arial" w:hAnsi="Arial"/>
                <w:sz w:val="18"/>
              </w:rPr>
              <w:t>Yes</w:t>
            </w:r>
          </w:p>
        </w:tc>
      </w:tr>
      <w:tr>
        <w:tc>
          <w:tcPr>
            <w:tcW w:type="dxa" w:w="3408"/>
            <w:vAlign w:val="center"/>
          </w:tcPr>
          <w:p>
            <w:r>
              <w:rPr>
                <w:rFonts w:ascii="Arial" w:hAnsi="Arial"/>
                <w:sz w:val="18"/>
              </w:rPr>
              <w:t>conversation_date_time</w:t>
            </w:r>
          </w:p>
        </w:tc>
        <w:tc>
          <w:tcPr>
            <w:tcW w:type="dxa" w:w="3408"/>
            <w:vAlign w:val="center"/>
          </w:tcPr>
          <w:p>
            <w:r>
              <w:rPr>
                <w:rFonts w:ascii="Arial" w:hAnsi="Arial"/>
                <w:sz w:val="18"/>
              </w:rPr>
              <w:t>10-Aug-2026 10:45</w:t>
            </w:r>
          </w:p>
        </w:tc>
        <w:tc>
          <w:tcPr>
            <w:tcW w:type="dxa" w:w="3408"/>
            <w:vAlign w:val="center"/>
          </w:tcPr>
          <w:p>
            <w:r>
              <w:rPr>
                <w:rFonts w:ascii="Arial" w:hAnsi="Arial"/>
                <w:sz w:val="18"/>
              </w:rPr>
              <w:t>Yes</w:t>
            </w:r>
          </w:p>
        </w:tc>
      </w:tr>
    </w:tbl>
    <w:p>
      <w:pPr>
        <w:pStyle w:val="Heading1"/>
      </w:pPr>
      <w:r>
        <w:t>12. Important Rule – Do Not Over-Collect Data</w:t>
      </w:r>
    </w:p>
    <w:p>
      <w:r>
        <w:t>The AI Agent should capture only information relevant to resolving the customer's repayment issue or classifying the interaction. It should not ask unnecessary questions merely to fill the Google Sheet.</w:t>
      </w:r>
    </w:p>
    <w:p>
      <w:pPr>
        <w:pStyle w:val="Heading1"/>
      </w:pPr>
      <w:r>
        <w:t>13. Recommended AI Agent Decision Logic</w:t>
      </w:r>
    </w:p>
    <w:p>
      <w:pPr>
        <w:pStyle w:val="ListNumber"/>
      </w:pPr>
      <w:r>
        <w:t>Customer replies → identify intent.</w:t>
      </w:r>
    </w:p>
    <w:p>
      <w:pPr>
        <w:pStyle w:val="ListNumber"/>
      </w:pPr>
      <w:r>
        <w:t>If question can be answered from Google Sheet / approved knowledge → answer using only that information.</w:t>
      </w:r>
    </w:p>
    <w:p>
      <w:pPr>
        <w:pStyle w:val="ListNumber"/>
      </w:pPr>
      <w:r>
        <w:t>If customer indicates payment already made → classify as Paid / Payment Already Made and initiate verification workflow if applicable.</w:t>
      </w:r>
    </w:p>
    <w:p>
      <w:pPr>
        <w:pStyle w:val="ListNumber"/>
      </w:pPr>
      <w:r>
        <w:t>If customer commits to a payment date → classify as PTP and capture PTP date.</w:t>
      </w:r>
    </w:p>
    <w:p>
      <w:pPr>
        <w:pStyle w:val="ListNumber"/>
      </w:pPr>
      <w:r>
        <w:t>If customer cannot pay → classify as Can't Pay and capture reason.</w:t>
      </w:r>
    </w:p>
    <w:p>
      <w:pPr>
        <w:pStyle w:val="ListNumber"/>
      </w:pPr>
      <w:r>
        <w:t>If customer reports banking/payment/NACH problem → classify as Payment Issue and capture issue type.</w:t>
      </w:r>
    </w:p>
    <w:p>
      <w:pPr>
        <w:pStyle w:val="ListNumber"/>
      </w:pPr>
      <w:r>
        <w:t>If customer requests a person or asks an unavailable question → classify as Callback Required and capture callback reason.</w:t>
      </w:r>
    </w:p>
    <w:p>
      <w:pPr>
        <w:pStyle w:val="ListNumber"/>
      </w:pPr>
      <w:r>
        <w:t>If customer disputes information → do not argue; classify appropriately and route for verification/callback.</w:t>
      </w:r>
    </w:p>
    <w:p>
      <w:pPr>
        <w:pStyle w:val="ListNumber"/>
      </w:pPr>
      <w:r>
        <w:t>After conversation → update feedback/disposition in Google Sheet.</w:t>
      </w:r>
    </w:p>
    <w:p>
      <w:pPr>
        <w:pStyle w:val="Heading1"/>
      </w:pPr>
      <w:r>
        <w:t>14. Controls &amp; Quality Requirements</w:t>
      </w:r>
    </w:p>
    <w:p>
      <w:pPr>
        <w:pStyle w:val="ListBullet"/>
      </w:pPr>
      <w:r>
        <w:t>No LMS/LOS integration is required for this campaign.</w:t>
      </w:r>
    </w:p>
    <w:p>
      <w:pPr>
        <w:pStyle w:val="ListBullet"/>
      </w:pPr>
      <w:r>
        <w:t>Google Sheet is the operational input source for campaign execution.</w:t>
      </w:r>
    </w:p>
    <w:p>
      <w:pPr>
        <w:pStyle w:val="ListBullet"/>
      </w:pPr>
      <w:r>
        <w:t>The Campaign Team must use the latest approved sheet version before running a campaign.</w:t>
      </w:r>
    </w:p>
    <w:p>
      <w:pPr>
        <w:pStyle w:val="ListBullet"/>
      </w:pPr>
      <w:r>
        <w:t>Customer-specific values must come from the sheet; do not hard-code values in templates.</w:t>
      </w:r>
    </w:p>
    <w:p>
      <w:pPr>
        <w:pStyle w:val="ListBullet"/>
      </w:pPr>
      <w:r>
        <w:t>No customer-specific loan information should be disclosed until the agent has sufficient confirmation that it is speaking with the intended customer, as per Caprion's approved authentication policy.</w:t>
      </w:r>
    </w:p>
    <w:p>
      <w:pPr>
        <w:pStyle w:val="ListBullet"/>
      </w:pPr>
      <w:r>
        <w:t>If data is missing or contradictory in the sheet, do not guess. Mark CALLBACK_REQUIRED and capture the issue.</w:t>
      </w:r>
    </w:p>
    <w:p>
      <w:pPr>
        <w:pStyle w:val="ListBullet"/>
      </w:pPr>
      <w:r>
        <w:t>All customer feedback must be classified and recorded.</w:t>
      </w:r>
    </w:p>
    <w:p>
      <w:pPr>
        <w:pStyle w:val="ListBullet"/>
      </w:pPr>
      <w:r>
        <w:t>The final output should allow Caprion to filter by PTP, Payment Issue, Can't Pay, Paid, Callback Required and other dispositions.</w:t>
      </w:r>
    </w:p>
    <w:p>
      <w:pPr>
        <w:pStyle w:val="Heading1"/>
      </w:pPr>
      <w:r>
        <w:t>15. Recommended Management Dashboard View</w:t>
      </w:r>
    </w:p>
    <w:p>
      <w:r>
        <w:t>For easy collection monitoring, the final Google Sheet should allow filtering/pivoting by:</w:t>
      </w:r>
    </w:p>
    <w:p>
      <w:pPr>
        <w:pStyle w:val="ListBullet"/>
      </w:pPr>
      <w:r>
        <w:t>Campaign Type</w:t>
      </w:r>
    </w:p>
    <w:p>
      <w:pPr>
        <w:pStyle w:val="ListBullet"/>
      </w:pPr>
      <w:r>
        <w:t>Total Customers</w:t>
      </w:r>
    </w:p>
    <w:p>
      <w:pPr>
        <w:pStyle w:val="ListBullet"/>
      </w:pPr>
      <w:r>
        <w:t>Messages Sent / Delivered</w:t>
      </w:r>
    </w:p>
    <w:p>
      <w:pPr>
        <w:pStyle w:val="ListBullet"/>
      </w:pPr>
      <w:r>
        <w:t>Customer Replied</w:t>
      </w:r>
    </w:p>
    <w:p>
      <w:pPr>
        <w:pStyle w:val="ListBullet"/>
      </w:pPr>
      <w:r>
        <w:t>PTP</w:t>
      </w:r>
    </w:p>
    <w:p>
      <w:pPr>
        <w:pStyle w:val="ListBullet"/>
      </w:pPr>
      <w:r>
        <w:t>PTP Date</w:t>
      </w:r>
    </w:p>
    <w:p>
      <w:pPr>
        <w:pStyle w:val="ListBullet"/>
      </w:pPr>
      <w:r>
        <w:t>Paid / Payment Already Made</w:t>
      </w:r>
    </w:p>
    <w:p>
      <w:pPr>
        <w:pStyle w:val="ListBullet"/>
      </w:pPr>
      <w:r>
        <w:t>Payment Issue</w:t>
      </w:r>
    </w:p>
    <w:p>
      <w:pPr>
        <w:pStyle w:val="ListBullet"/>
      </w:pPr>
      <w:r>
        <w:t>Can't Pay</w:t>
      </w:r>
    </w:p>
    <w:p>
      <w:pPr>
        <w:pStyle w:val="ListBullet"/>
      </w:pPr>
      <w:r>
        <w:t>Refusal / Not Willing to Pay</w:t>
      </w:r>
    </w:p>
    <w:p>
      <w:pPr>
        <w:pStyle w:val="ListBullet"/>
      </w:pPr>
      <w:r>
        <w:t>Callback Required</w:t>
      </w:r>
    </w:p>
    <w:p>
      <w:pPr>
        <w:pStyle w:val="ListBullet"/>
      </w:pPr>
      <w:r>
        <w:t>Wrong Number</w:t>
      </w:r>
    </w:p>
    <w:p>
      <w:pPr>
        <w:pStyle w:val="ListBullet"/>
      </w:pPr>
      <w:r>
        <w:t>Other</w:t>
      </w:r>
    </w:p>
    <w:p>
      <w:pPr>
        <w:pStyle w:val="Heading1"/>
      </w:pPr>
      <w:r>
        <w:t>16. Final Instruction to WhatsApp Campaign Team</w:t>
      </w:r>
    </w:p>
    <w:p>
      <w:r>
        <w:rPr>
          <w:b/>
        </w:rPr>
        <w:t>The objective is not simply to send WhatsApp messages. The objective is to create a structured digital collection conversation where every customer response produces a usable disposition.</w:t>
      </w:r>
    </w:p>
    <w:p>
      <w:r>
        <w:t>The campaign team must therefore ensure three things: (1) accurate customer-specific communication from the Google Sheet, (2) no guessing when information is unavailable, and (3) complete classification of customer feedback for collection follow-up.</w:t>
      </w:r>
    </w:p>
    <w:p>
      <w:pPr>
        <w:pStyle w:val="Heading1"/>
      </w:pPr>
      <w:r>
        <w:t>17. Quick Reference – Campaign Set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tcPr>
          <w:p>
            <w:r>
              <w:rPr>
                <w:rFonts w:ascii="Arial" w:hAnsi="Arial"/>
                <w:sz w:val="18"/>
              </w:rPr>
              <w:t>Sr.</w:t>
            </w:r>
          </w:p>
        </w:tc>
        <w:tc>
          <w:tcPr>
            <w:tcW w:type="dxa" w:w="2045"/>
            <w:vAlign w:val="center"/>
          </w:tcPr>
          <w:p>
            <w:r>
              <w:rPr>
                <w:rFonts w:ascii="Arial" w:hAnsi="Arial"/>
                <w:sz w:val="18"/>
              </w:rPr>
              <w:t>Campaign</w:t>
            </w:r>
          </w:p>
        </w:tc>
        <w:tc>
          <w:tcPr>
            <w:tcW w:type="dxa" w:w="2045"/>
            <w:vAlign w:val="center"/>
          </w:tcPr>
          <w:p>
            <w:r>
              <w:rPr>
                <w:rFonts w:ascii="Arial" w:hAnsi="Arial"/>
                <w:sz w:val="18"/>
              </w:rPr>
              <w:t>Trigger</w:t>
            </w:r>
          </w:p>
        </w:tc>
        <w:tc>
          <w:tcPr>
            <w:tcW w:type="dxa" w:w="2045"/>
            <w:vAlign w:val="center"/>
          </w:tcPr>
          <w:p>
            <w:r>
              <w:rPr>
                <w:rFonts w:ascii="Arial" w:hAnsi="Arial"/>
                <w:sz w:val="18"/>
              </w:rPr>
              <w:t>Main Message</w:t>
            </w:r>
          </w:p>
        </w:tc>
        <w:tc>
          <w:tcPr>
            <w:tcW w:type="dxa" w:w="2045"/>
            <w:vAlign w:val="center"/>
          </w:tcPr>
          <w:p>
            <w:r>
              <w:rPr>
                <w:rFonts w:ascii="Arial" w:hAnsi="Arial"/>
                <w:sz w:val="18"/>
              </w:rPr>
              <w:t>Main KPI</w:t>
            </w:r>
          </w:p>
        </w:tc>
      </w:tr>
      <w:tr>
        <w:tc>
          <w:tcPr>
            <w:tcW w:type="dxa" w:w="2045"/>
            <w:vAlign w:val="center"/>
          </w:tcPr>
          <w:p>
            <w:r>
              <w:rPr>
                <w:rFonts w:ascii="Arial" w:hAnsi="Arial"/>
                <w:sz w:val="18"/>
              </w:rPr>
              <w:t>1</w:t>
            </w:r>
          </w:p>
        </w:tc>
        <w:tc>
          <w:tcPr>
            <w:tcW w:type="dxa" w:w="2045"/>
            <w:vAlign w:val="center"/>
          </w:tcPr>
          <w:p>
            <w:r>
              <w:rPr>
                <w:rFonts w:ascii="Arial" w:hAnsi="Arial"/>
                <w:sz w:val="18"/>
              </w:rPr>
              <w:t>Post-Disbursement</w:t>
            </w:r>
          </w:p>
        </w:tc>
        <w:tc>
          <w:tcPr>
            <w:tcW w:type="dxa" w:w="2045"/>
            <w:vAlign w:val="center"/>
          </w:tcPr>
          <w:p>
            <w:r>
              <w:rPr>
                <w:rFonts w:ascii="Arial" w:hAnsi="Arial"/>
                <w:sz w:val="18"/>
              </w:rPr>
              <w:t>Day 0</w:t>
            </w:r>
          </w:p>
        </w:tc>
        <w:tc>
          <w:tcPr>
            <w:tcW w:type="dxa" w:w="2045"/>
            <w:vAlign w:val="center"/>
          </w:tcPr>
          <w:p>
            <w:r>
              <w:rPr>
                <w:rFonts w:ascii="Arial" w:hAnsi="Arial"/>
                <w:sz w:val="18"/>
              </w:rPr>
              <w:t>Welcome + FIRST EMI DUE DATE</w:t>
            </w:r>
          </w:p>
        </w:tc>
        <w:tc>
          <w:tcPr>
            <w:tcW w:type="dxa" w:w="2045"/>
            <w:vAlign w:val="center"/>
          </w:tcPr>
          <w:p>
            <w:r>
              <w:rPr>
                <w:rFonts w:ascii="Arial" w:hAnsi="Arial"/>
                <w:sz w:val="18"/>
              </w:rPr>
              <w:t>First EMI bounce rate</w:t>
            </w:r>
          </w:p>
        </w:tc>
      </w:tr>
      <w:tr>
        <w:tc>
          <w:tcPr>
            <w:tcW w:type="dxa" w:w="2045"/>
            <w:vAlign w:val="center"/>
          </w:tcPr>
          <w:p>
            <w:r>
              <w:rPr>
                <w:rFonts w:ascii="Arial" w:hAnsi="Arial"/>
                <w:sz w:val="18"/>
              </w:rPr>
              <w:t>2</w:t>
            </w:r>
          </w:p>
        </w:tc>
        <w:tc>
          <w:tcPr>
            <w:tcW w:type="dxa" w:w="2045"/>
            <w:vAlign w:val="center"/>
          </w:tcPr>
          <w:p>
            <w:r>
              <w:rPr>
                <w:rFonts w:ascii="Arial" w:hAnsi="Arial"/>
                <w:sz w:val="18"/>
              </w:rPr>
              <w:t>Pre-Due</w:t>
            </w:r>
          </w:p>
        </w:tc>
        <w:tc>
          <w:tcPr>
            <w:tcW w:type="dxa" w:w="2045"/>
            <w:vAlign w:val="center"/>
          </w:tcPr>
          <w:p>
            <w:r>
              <w:rPr>
                <w:rFonts w:ascii="Arial" w:hAnsi="Arial"/>
                <w:sz w:val="18"/>
              </w:rPr>
              <w:t>D-5 to D-3</w:t>
            </w:r>
          </w:p>
        </w:tc>
        <w:tc>
          <w:tcPr>
            <w:tcW w:type="dxa" w:w="2045"/>
            <w:vAlign w:val="center"/>
          </w:tcPr>
          <w:p>
            <w:r>
              <w:rPr>
                <w:rFonts w:ascii="Arial" w:hAnsi="Arial"/>
                <w:sz w:val="18"/>
              </w:rPr>
              <w:t>EMI due reminder</w:t>
            </w:r>
          </w:p>
        </w:tc>
        <w:tc>
          <w:tcPr>
            <w:tcW w:type="dxa" w:w="2045"/>
            <w:vAlign w:val="center"/>
          </w:tcPr>
          <w:p>
            <w:r>
              <w:rPr>
                <w:rFonts w:ascii="Arial" w:hAnsi="Arial"/>
                <w:sz w:val="18"/>
              </w:rPr>
              <w:t>Bounce prevention / payment rate</w:t>
            </w:r>
          </w:p>
        </w:tc>
      </w:tr>
      <w:tr>
        <w:tc>
          <w:tcPr>
            <w:tcW w:type="dxa" w:w="2045"/>
            <w:vAlign w:val="center"/>
          </w:tcPr>
          <w:p>
            <w:r>
              <w:rPr>
                <w:rFonts w:ascii="Arial" w:hAnsi="Arial"/>
                <w:sz w:val="18"/>
              </w:rPr>
              <w:t>3</w:t>
            </w:r>
          </w:p>
        </w:tc>
        <w:tc>
          <w:tcPr>
            <w:tcW w:type="dxa" w:w="2045"/>
            <w:vAlign w:val="center"/>
          </w:tcPr>
          <w:p>
            <w:r>
              <w:rPr>
                <w:rFonts w:ascii="Arial" w:hAnsi="Arial"/>
                <w:sz w:val="18"/>
              </w:rPr>
              <w:t>Post-Bounce</w:t>
            </w:r>
          </w:p>
        </w:tc>
        <w:tc>
          <w:tcPr>
            <w:tcW w:type="dxa" w:w="2045"/>
            <w:vAlign w:val="center"/>
          </w:tcPr>
          <w:p>
            <w:r>
              <w:rPr>
                <w:rFonts w:ascii="Arial" w:hAnsi="Arial"/>
                <w:sz w:val="18"/>
              </w:rPr>
              <w:t>D+1</w:t>
            </w:r>
          </w:p>
        </w:tc>
        <w:tc>
          <w:tcPr>
            <w:tcW w:type="dxa" w:w="2045"/>
            <w:vAlign w:val="center"/>
          </w:tcPr>
          <w:p>
            <w:r>
              <w:rPr>
                <w:rFonts w:ascii="Arial" w:hAnsi="Arial"/>
                <w:sz w:val="18"/>
              </w:rPr>
              <w:t>Outstanding + Pay Now</w:t>
            </w:r>
          </w:p>
        </w:tc>
        <w:tc>
          <w:tcPr>
            <w:tcW w:type="dxa" w:w="2045"/>
            <w:vAlign w:val="center"/>
          </w:tcPr>
          <w:p>
            <w:r>
              <w:rPr>
                <w:rFonts w:ascii="Arial" w:hAnsi="Arial"/>
                <w:sz w:val="18"/>
              </w:rPr>
              <w:t>Cure / resolution rate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Caprion | WhatsApp Collection Campaign – Revised Operating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