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p>
    <w:p>
      <w:pPr>
        <w:spacing w:before="480" w:after="120"/>
        <w:jc w:val="center"/>
      </w:pPr>
      <w:r>
        <w:rPr>
          <w:rFonts w:ascii="Arial" w:cs="Arial" w:eastAsia="Arial" w:hAnsi="Arial"/>
          <w:b/>
          <w:bCs/>
          <w:color w:val="1F4E79"/>
          <w:sz w:val="48"/>
          <w:szCs w:val="48"/>
        </w:rPr>
        <w:t xml:space="preserve">HR Compensation Benchmarking Tool</w:t>
      </w:r>
    </w:p>
    <w:p>
      <w:pPr>
        <w:spacing w:before="80" w:after="80"/>
        <w:jc w:val="center"/>
      </w:pPr>
      <w:r>
        <w:rPr>
          <w:rFonts w:ascii="Arial" w:cs="Arial" w:eastAsia="Arial" w:hAnsi="Arial"/>
          <w:color w:val="2E74B5"/>
          <w:sz w:val="30"/>
          <w:szCs w:val="30"/>
        </w:rPr>
        <w:t xml:space="preserve">Project Reference Guide</w:t>
      </w:r>
    </w:p>
    <w:p>
      <w:pPr>
        <w:spacing w:before="80" w:after="80"/>
        <w:jc w:val="center"/>
      </w:pPr>
      <w:r>
        <w:rPr>
          <w:rFonts w:ascii="Arial" w:cs="Arial" w:eastAsia="Arial" w:hAnsi="Arial"/>
          <w:color w:val="595959"/>
          <w:sz w:val="22"/>
          <w:szCs w:val="22"/>
        </w:rPr>
        <w:t xml:space="preserve">Prepared by Abhinav  |  HR Analytics &amp; Insights</w:t>
      </w:r>
    </w:p>
    <w:p>
      <w:pPr>
        <w:spacing w:before="80" w:after="480"/>
        <w:jc w:val="center"/>
      </w:pPr>
      <w:r>
        <w:rPr>
          <w:rFonts w:ascii="Arial" w:cs="Arial" w:eastAsia="Arial" w:hAnsi="Arial"/>
          <w:color w:val="2E74B5"/>
          <w:sz w:val="22"/>
          <w:szCs w:val="22"/>
        </w:rPr>
        <w:t xml:space="preserve">github.com/aabhinavindian-cell</w:t>
      </w:r>
    </w:p>
    <w:p>
      <w:r>
        <w:br w:type="page"/>
      </w:r>
    </w:p>
    <w:p>
      <w:pPr>
        <w:pStyle w:val="Heading1"/>
        <w:spacing w:before="320" w:after="160"/>
      </w:pPr>
      <w:r>
        <w:rPr>
          <w:rFonts w:ascii="Arial" w:cs="Arial" w:eastAsia="Arial" w:hAnsi="Arial"/>
          <w:b/>
          <w:bCs/>
          <w:color w:val="1F4E79"/>
          <w:sz w:val="32"/>
          <w:szCs w:val="32"/>
        </w:rPr>
        <w:t xml:space="preserve">Section 1: Project Overview</w:t>
      </w:r>
    </w:p>
    <w:p>
      <w:pPr>
        <w:pBdr>
          <w:bottom w:val="single" w:color="2E75B6" w:sz="6" w:space="1"/>
        </w:pBdr>
        <w:spacing w:before="160" w:after="160"/>
      </w:pPr>
    </w:p>
    <w:p>
      <w:pPr>
        <w:pStyle w:val="Heading2"/>
        <w:spacing w:before="240" w:after="120"/>
      </w:pPr>
      <w:r>
        <w:rPr>
          <w:rFonts w:ascii="Arial" w:cs="Arial" w:eastAsia="Arial" w:hAnsi="Arial"/>
          <w:b/>
          <w:bCs/>
          <w:color w:val="2E74B5"/>
          <w:sz w:val="26"/>
          <w:szCs w:val="26"/>
        </w:rPr>
        <w:t xml:space="preserve">What is this project?</w:t>
      </w:r>
    </w:p>
    <w:p>
      <w:pPr>
        <w:spacing w:before="80" w:after="80"/>
      </w:pPr>
      <w:r>
        <w:rPr>
          <w:rFonts w:ascii="Arial" w:cs="Arial" w:eastAsia="Arial" w:hAnsi="Arial"/>
          <w:sz w:val="22"/>
          <w:szCs w:val="22"/>
        </w:rPr>
        <w:t xml:space="preserve">The HR Compensation Benchmarking Tool analyses whether employees across grades and departments are paid fairly relative to the market. It calculates compa-ratios, assigns pay band positions, flags flight risks due to underpayment, analyses gender pay gaps, and generates a prioritised action report for the Total Rewards team and CFO.</w:t>
      </w:r>
    </w:p>
    <w:p>
      <w:pPr>
        <w:spacing w:before="80" w:after="80"/>
      </w:pPr>
      <w:r>
        <w:rPr>
          <w:rFonts w:ascii="Arial" w:cs="Arial" w:eastAsia="Arial" w:hAnsi="Arial"/>
          <w:sz w:val="22"/>
          <w:szCs w:val="22"/>
        </w:rPr>
        <w:t xml:space="preserve">Compensation benchmarking is one of the most directly impactful HR analytics exercises because it produces a concrete financial output — how much it costs to fix pay inequities — alongside a ranked list of employees who need action.</w:t>
      </w:r>
    </w:p>
    <w:p>
      <w:pPr>
        <w:pStyle w:val="Heading2"/>
        <w:spacing w:before="240" w:after="120"/>
      </w:pPr>
      <w:r>
        <w:rPr>
          <w:rFonts w:ascii="Arial" w:cs="Arial" w:eastAsia="Arial" w:hAnsi="Arial"/>
          <w:b/>
          <w:bCs/>
          <w:color w:val="2E74B5"/>
          <w:sz w:val="26"/>
          <w:szCs w:val="26"/>
        </w:rPr>
        <w:t xml:space="preserve">The core insight</w:t>
      </w:r>
    </w:p>
    <w:p>
      <w:pPr>
        <w:spacing w:before="80" w:after="80"/>
      </w:pPr>
      <w:r>
        <w:rPr>
          <w:rFonts w:ascii="Arial" w:cs="Arial" w:eastAsia="Arial" w:hAnsi="Arial"/>
          <w:sz w:val="22"/>
          <w:szCs w:val="22"/>
        </w:rPr>
        <w:t xml:space="preserve">Fixing all below-band employees costs AED 490,800 annually. In the context of a 22.7 million AED annual hiring budget, this is a fraction of what it costs to lose and replace those same employees. This is the central business case for proactive compensation benchmarking — prevention is always cheaper than replacement.</w:t>
      </w:r>
    </w:p>
    <w:p>
      <w:pPr>
        <w:pStyle w:val="Heading2"/>
        <w:spacing w:before="240" w:after="120"/>
      </w:pPr>
      <w:r>
        <w:rPr>
          <w:rFonts w:ascii="Arial" w:cs="Arial" w:eastAsia="Arial" w:hAnsi="Arial"/>
          <w:b/>
          <w:bCs/>
          <w:color w:val="2E74B5"/>
          <w:sz w:val="26"/>
          <w:szCs w:val="26"/>
        </w:rPr>
        <w:t xml:space="preserve">Project Summary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Employees analysed</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500 across 6 grades and 6 departments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pay band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402 employees (80.4%)</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Above pay band</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54 employees (10.8%)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pay band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 employees (8.8%)</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Pay-related flight risks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123 employees (24.6%)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Employees needing immediate 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 employees</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Annual cost to fix below-band</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AED 490,800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underpaid department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(avg compa-ratio 97.9)</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Gender pay gap concern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G3 and G4 — males paid 3.8-3.9% more</w:t>
            </w:r>
          </w:p>
        </w:tc>
      </w:tr>
    </w:tbl>
    <w:p>
      <w:pPr>
        <w:spacing w:before="120" w:after="120"/>
      </w:pPr>
    </w:p>
    <w:p>
      <w:r>
        <w:br w:type="page"/>
      </w:r>
    </w:p>
    <w:p>
      <w:pPr>
        <w:pStyle w:val="Heading1"/>
        <w:spacing w:before="320" w:after="160"/>
      </w:pPr>
      <w:r>
        <w:rPr>
          <w:rFonts w:ascii="Arial" w:cs="Arial" w:eastAsia="Arial" w:hAnsi="Arial"/>
          <w:b/>
          <w:bCs/>
          <w:color w:val="1F4E79"/>
          <w:sz w:val="32"/>
          <w:szCs w:val="32"/>
        </w:rPr>
        <w:t xml:space="preserve">Section 2: Core Compensation Concepts</w:t>
      </w:r>
    </w:p>
    <w:p>
      <w:pPr>
        <w:pBdr>
          <w:bottom w:val="single" w:color="2E75B6" w:sz="6" w:space="1"/>
        </w:pBdr>
        <w:spacing w:before="160" w:after="160"/>
      </w:pPr>
    </w:p>
    <w:p>
      <w:pPr>
        <w:pStyle w:val="Heading2"/>
        <w:spacing w:before="240" w:after="120"/>
      </w:pPr>
      <w:r>
        <w:rPr>
          <w:rFonts w:ascii="Arial" w:cs="Arial" w:eastAsia="Arial" w:hAnsi="Arial"/>
          <w:b/>
          <w:bCs/>
          <w:color w:val="2E74B5"/>
          <w:sz w:val="26"/>
          <w:szCs w:val="26"/>
        </w:rPr>
        <w:t xml:space="preserve">What is a compa-ratio?</w:t>
      </w:r>
    </w:p>
    <w:p>
      <w:pPr>
        <w:spacing w:before="80" w:after="80"/>
      </w:pPr>
      <w:r>
        <w:rPr>
          <w:rFonts w:ascii="Arial" w:cs="Arial" w:eastAsia="Arial" w:hAnsi="Arial"/>
          <w:sz w:val="22"/>
          <w:szCs w:val="22"/>
        </w:rPr>
        <w:t xml:space="preserve">Compa-ratio stands for comparative ratio. It measures where an employee's salary sits relative to the market midpoint for their grade. The formula is simple: actual salary divided by market midpoint, multiplied by 100.</w:t>
      </w:r>
    </w:p>
    <w:p>
      <w:pPr>
        <w:spacing w:before="80" w:after="80"/>
      </w:pPr>
      <w:r>
        <w:rPr>
          <w:rFonts w:ascii="Arial" w:cs="Arial" w:eastAsia="Arial" w:hAnsi="Arial"/>
          <w:sz w:val="22"/>
          <w:szCs w:val="22"/>
        </w:rPr>
        <w:t xml:space="preserve">A compa-ratio of 100 means the employee is paid exactly at the market midpoint. A compa-ratio of 85 means they are paid 15% below market. A compa-ratio of 115 means they are paid 15% above market.</w:t>
      </w:r>
    </w:p>
    <w:p>
      <w:pPr>
        <w:spacing w:before="80" w:after="80"/>
      </w:pPr>
      <w:r>
        <w:rPr>
          <w:rFonts w:ascii="Arial" w:cs="Arial" w:eastAsia="Arial" w:hAnsi="Arial"/>
          <w:sz w:val="22"/>
          <w:szCs w:val="22"/>
        </w:rPr>
        <w:t xml:space="preserve">Most Total Rewards teams target a compa-ratio range of 90 to 110 for the majority of employees. Employees consistently below 90 are underpaid relative to market and represent a retention risk. Employees consistently above 110 represent a budget exposure.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Compa-Ratio Range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Below 80</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Significantly underpaid — critical risk</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Immediate salary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to 90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market — flight risk territory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increase at next cycle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90 to 110</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Within acceptable market range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action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 to 120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market — monitor carefully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Salary freeze or grade review</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Above 120</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Significantly overpaid — budget exposure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Salary freeze, grade progression</w:t>
            </w:r>
          </w:p>
        </w:tc>
      </w:tr>
    </w:tbl>
    <w:p>
      <w:pPr>
        <w:spacing w:before="120" w:after="120"/>
      </w:pPr>
    </w:p>
    <w:p>
      <w:pPr>
        <w:pStyle w:val="Heading2"/>
        <w:spacing w:before="240" w:after="120"/>
      </w:pPr>
      <w:r>
        <w:rPr>
          <w:rFonts w:ascii="Arial" w:cs="Arial" w:eastAsia="Arial" w:hAnsi="Arial"/>
          <w:b/>
          <w:bCs/>
          <w:color w:val="2E74B5"/>
          <w:sz w:val="26"/>
          <w:szCs w:val="26"/>
        </w:rPr>
        <w:t xml:space="preserve">What is a pay band?</w:t>
      </w:r>
    </w:p>
    <w:p>
      <w:pPr>
        <w:spacing w:before="80" w:after="80"/>
      </w:pPr>
      <w:r>
        <w:rPr>
          <w:rFonts w:ascii="Arial" w:cs="Arial" w:eastAsia="Arial" w:hAnsi="Arial"/>
          <w:sz w:val="22"/>
          <w:szCs w:val="22"/>
        </w:rPr>
        <w:t xml:space="preserve">A pay band defines the minimum and maximum salary for a given grade. In this project, pay bands were set at plus or minus 20% around the market midpoint. This means a G3 employee with a market midpoint of AED 18,000 has a band minimum of AED 14,400 and a band maximum of AED 21,600.</w:t>
      </w:r>
    </w:p>
    <w:p>
      <w:pPr>
        <w:spacing w:before="80" w:after="80"/>
      </w:pPr>
      <w:r>
        <w:rPr>
          <w:rFonts w:ascii="Arial" w:cs="Arial" w:eastAsia="Arial" w:hAnsi="Arial"/>
          <w:sz w:val="22"/>
          <w:szCs w:val="22"/>
        </w:rPr>
        <w:t xml:space="preserve">Employees below the band minimum are underpaid relative to even the bottom of the acceptable range for their grade. Employees above the band maximum have outgrown their grade's pay structure and typically need a grade progression conversation.</w:t>
      </w:r>
    </w:p>
    <w:p>
      <w:pPr>
        <w:pStyle w:val="Heading2"/>
        <w:spacing w:before="240" w:after="120"/>
      </w:pPr>
      <w:r>
        <w:rPr>
          <w:rFonts w:ascii="Arial" w:cs="Arial" w:eastAsia="Arial" w:hAnsi="Arial"/>
          <w:b/>
          <w:bCs/>
          <w:color w:val="2E74B5"/>
          <w:sz w:val="26"/>
          <w:szCs w:val="26"/>
        </w:rPr>
        <w:t xml:space="preserve">What is market midpoint?</w:t>
      </w:r>
    </w:p>
    <w:p>
      <w:pPr>
        <w:spacing w:before="80" w:after="80"/>
      </w:pPr>
      <w:r>
        <w:rPr>
          <w:rFonts w:ascii="Arial" w:cs="Arial" w:eastAsia="Arial" w:hAnsi="Arial"/>
          <w:sz w:val="22"/>
          <w:szCs w:val="22"/>
        </w:rPr>
        <w:t xml:space="preserve">The market midpoint is the median salary paid by comparable organisations for a role at a given grade level. It is derived from salary surveys — typically from providers like Mercer, Willis Towers Watson or Hay Group in the UAE market.</w:t>
      </w:r>
    </w:p>
    <w:p>
      <w:pPr>
        <w:spacing w:before="80" w:after="80"/>
      </w:pPr>
      <w:r>
        <w:rPr>
          <w:rFonts w:ascii="Arial" w:cs="Arial" w:eastAsia="Arial" w:hAnsi="Arial"/>
          <w:sz w:val="22"/>
          <w:szCs w:val="22"/>
        </w:rPr>
        <w:t xml:space="preserve">In this project, market midpoints were set based on realistic UAE compensation levels for a defence sector organisation, ranging from AED 8,000 at G1 to AED 50,000 at G6.</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26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Market Midpoint (AED)</w:t>
            </w:r>
          </w:p>
        </w:tc>
        <w:tc>
          <w:tcPr>
            <w:tcW w:type="dxa" w:w="26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Band Minimum (AED)</w:t>
            </w:r>
          </w:p>
        </w:tc>
        <w:tc>
          <w:tcPr>
            <w:tcW w:type="dxa" w:w="26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Band Maximum (AED)</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G1</w:t>
            </w:r>
          </w:p>
        </w:tc>
        <w:tc>
          <w:tcPr>
            <w:tcW w:type="dxa" w:w="2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8,000</w:t>
            </w:r>
          </w:p>
        </w:tc>
        <w:tc>
          <w:tcPr>
            <w:tcW w:type="dxa" w:w="2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6,400</w:t>
            </w:r>
          </w:p>
        </w:tc>
        <w:tc>
          <w:tcPr>
            <w:tcW w:type="dxa" w:w="2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9,600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G2</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12,000</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9,600</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14,400</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G3</w:t>
            </w:r>
          </w:p>
        </w:tc>
        <w:tc>
          <w:tcPr>
            <w:tcW w:type="dxa" w:w="2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18,000</w:t>
            </w:r>
          </w:p>
        </w:tc>
        <w:tc>
          <w:tcPr>
            <w:tcW w:type="dxa" w:w="2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14,400</w:t>
            </w:r>
          </w:p>
        </w:tc>
        <w:tc>
          <w:tcPr>
            <w:tcW w:type="dxa" w:w="2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21,600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G4</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G5</w:t>
            </w:r>
          </w:p>
        </w:tc>
        <w:tc>
          <w:tcPr>
            <w:tcW w:type="dxa" w:w="2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35,000</w:t>
            </w:r>
          </w:p>
        </w:tc>
        <w:tc>
          <w:tcPr>
            <w:tcW w:type="dxa" w:w="2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28,000</w:t>
            </w:r>
          </w:p>
        </w:tc>
        <w:tc>
          <w:tcPr>
            <w:tcW w:type="dxa" w:w="2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42,000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G6</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40,000</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w:t>
            </w:r>
          </w:p>
        </w:tc>
      </w:tr>
    </w:tbl>
    <w:p>
      <w:pPr>
        <w:spacing w:before="120" w:after="120"/>
      </w:pPr>
    </w:p>
    <w:p>
      <w:pPr>
        <w:pStyle w:val="Heading2"/>
        <w:spacing w:before="240" w:after="120"/>
      </w:pPr>
      <w:r>
        <w:rPr>
          <w:rFonts w:ascii="Arial" w:cs="Arial" w:eastAsia="Arial" w:hAnsi="Arial"/>
          <w:b/>
          <w:bCs/>
          <w:color w:val="2E74B5"/>
          <w:sz w:val="26"/>
          <w:szCs w:val="26"/>
        </w:rPr>
        <w:t xml:space="preserve">What is a gender pay gap?</w:t>
      </w:r>
    </w:p>
    <w:p>
      <w:pPr>
        <w:spacing w:before="80" w:after="80"/>
      </w:pPr>
      <w:r>
        <w:rPr>
          <w:rFonts w:ascii="Arial" w:cs="Arial" w:eastAsia="Arial" w:hAnsi="Arial"/>
          <w:sz w:val="22"/>
          <w:szCs w:val="22"/>
        </w:rPr>
        <w:t xml:space="preserve">A gender pay gap measures the difference in average pay between male and female employees. In compensation analytics, it is most meaningful when calculated within the same grade — because comparing across grades conflates pay with seniority.</w:t>
      </w:r>
    </w:p>
    <w:p>
      <w:pPr>
        <w:spacing w:before="80" w:after="80"/>
      </w:pPr>
      <w:r>
        <w:rPr>
          <w:rFonts w:ascii="Arial" w:cs="Arial" w:eastAsia="Arial" w:hAnsi="Arial"/>
          <w:sz w:val="22"/>
          <w:szCs w:val="22"/>
        </w:rPr>
        <w:t xml:space="preserve">In this project, the compa-ratio gender gap at G3 was 3.9% and at G4 was 3.8%, both favouring males. These gaps at mid-career grades are where gender pay inequity typically embeds itself — often through differential starting salaries, lower increase percentages for women over time, or slower progression through the pay band.</w:t>
      </w:r>
    </w:p>
    <w:p>
      <w:pPr>
        <w:spacing w:before="80" w:after="80"/>
      </w:pPr>
      <w:r>
        <w:rPr>
          <w:rFonts w:ascii="Arial" w:cs="Arial" w:eastAsia="Arial" w:hAnsi="Arial"/>
          <w:sz w:val="22"/>
          <w:szCs w:val="22"/>
        </w:rPr>
        <w:t xml:space="preserve">G5 and G6 showed slight gaps favouring females, which is positive at senior levels but does not offset the mid-grade concern.</w:t>
      </w:r>
    </w:p>
    <w:p>
      <w:pPr>
        <w:pStyle w:val="Heading2"/>
        <w:spacing w:before="240" w:after="120"/>
      </w:pPr>
      <w:r>
        <w:rPr>
          <w:rFonts w:ascii="Arial" w:cs="Arial" w:eastAsia="Arial" w:hAnsi="Arial"/>
          <w:b/>
          <w:bCs/>
          <w:color w:val="2E74B5"/>
          <w:sz w:val="26"/>
          <w:szCs w:val="26"/>
        </w:rPr>
        <w:t xml:space="preserve">What is a pay-related flight risk?</w:t>
      </w:r>
    </w:p>
    <w:p>
      <w:pPr>
        <w:spacing w:before="80" w:after="80"/>
      </w:pPr>
      <w:r>
        <w:rPr>
          <w:rFonts w:ascii="Arial" w:cs="Arial" w:eastAsia="Arial" w:hAnsi="Arial"/>
          <w:sz w:val="22"/>
          <w:szCs w:val="22"/>
        </w:rPr>
        <w:t xml:space="preserve">A pay-related flight risk is an employee whose compensation is sufficiently below market that it meaningfully increases their probability of leaving. In this project, the flag was applied to employees with a compa-ratio below 90 or a salary below their grade band minimum.</w:t>
      </w:r>
    </w:p>
    <w:p>
      <w:pPr>
        <w:spacing w:before="80" w:after="80"/>
      </w:pPr>
      <w:r>
        <w:rPr>
          <w:rFonts w:ascii="Arial" w:cs="Arial" w:eastAsia="Arial" w:hAnsi="Arial"/>
          <w:sz w:val="22"/>
          <w:szCs w:val="22"/>
        </w:rPr>
        <w:t xml:space="preserve">123 employees — 24.6% of the workforce — were flagged. This does not mean all 123 will leave, but it identifies the population where a compensation conversation is warranted before the employee starts looking externally.</w:t>
      </w:r>
    </w:p>
    <w:p>
      <w:pPr>
        <w:spacing w:before="120" w:after="120"/>
      </w:pPr>
    </w:p>
    <w:p>
      <w:r>
        <w:br w:type="page"/>
      </w:r>
    </w:p>
    <w:p>
      <w:pPr>
        <w:pStyle w:val="Heading1"/>
        <w:spacing w:before="320" w:after="160"/>
      </w:pPr>
      <w:r>
        <w:rPr>
          <w:rFonts w:ascii="Arial" w:cs="Arial" w:eastAsia="Arial" w:hAnsi="Arial"/>
          <w:b/>
          <w:bCs/>
          <w:color w:val="1F4E79"/>
          <w:sz w:val="32"/>
          <w:szCs w:val="32"/>
        </w:rPr>
        <w:t xml:space="preserve">Section 3: Action Framework</w:t>
      </w:r>
    </w:p>
    <w:p>
      <w:pPr>
        <w:pBdr>
          <w:bottom w:val="single" w:color="2E75B6" w:sz="6" w:space="1"/>
        </w:pBdr>
        <w:spacing w:before="160" w:after="160"/>
      </w:pPr>
    </w:p>
    <w:p>
      <w:pPr>
        <w:pStyle w:val="Heading2"/>
        <w:spacing w:before="240" w:after="120"/>
      </w:pPr>
      <w:r>
        <w:rPr>
          <w:rFonts w:ascii="Arial" w:cs="Arial" w:eastAsia="Arial" w:hAnsi="Arial"/>
          <w:b/>
          <w:bCs/>
          <w:color w:val="2E74B5"/>
          <w:sz w:val="26"/>
          <w:szCs w:val="26"/>
        </w:rPr>
        <w:t xml:space="preserve">The seven action categories</w:t>
      </w:r>
    </w:p>
    <w:p>
      <w:pPr>
        <w:spacing w:before="80" w:after="80"/>
      </w:pPr>
      <w:r>
        <w:rPr>
          <w:rFonts w:ascii="Arial" w:cs="Arial" w:eastAsia="Arial" w:hAnsi="Arial"/>
          <w:sz w:val="22"/>
          <w:szCs w:val="22"/>
        </w:rPr>
        <w:t xml:space="preserve">Every employee was assigned one of seven recommended actions based on their pay position and performance rating. This framework gives the Total Rewards team a clear, defensible basis for prioritising the salary review cycle.</w:t>
      </w:r>
    </w:p>
    <w:p>
      <w:pPr>
        <w:spacing w:before="120" w:after="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12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Category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Employees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Action Required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Within band, compa-ratio 90-110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362</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Review — Below Band, Performing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band minimum, rating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Priority Increase — Low Compa, High Performer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Compa-ratio below 90, rating 4+</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28</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 Progression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band maximum, rating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Salary Freeze — Above Band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Above band maximum, rating below 4</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29</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Salary Freeze — High Compa, Low Performer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Compa-ratio above 110, rating 2 or below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Monitor — Below Band, Low Performance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Below band minimum, rating below 3</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w:t>
            </w:r>
          </w:p>
        </w:tc>
      </w:tr>
    </w:tbl>
    <w:p>
      <w:pPr>
        <w:spacing w:before="120" w:after="120"/>
      </w:pPr>
    </w:p>
    <w:p>
      <w:pPr>
        <w:pStyle w:val="Heading2"/>
        <w:spacing w:before="240" w:after="120"/>
      </w:pPr>
      <w:r>
        <w:rPr>
          <w:rFonts w:ascii="Arial" w:cs="Arial" w:eastAsia="Arial" w:hAnsi="Arial"/>
          <w:b/>
          <w:bCs/>
          <w:color w:val="2E74B5"/>
          <w:sz w:val="26"/>
          <w:szCs w:val="26"/>
        </w:rPr>
        <w:t xml:space="preserve">How to use the action report in a salary review</w:t>
      </w:r>
    </w:p>
    <w:p>
      <w:pPr>
        <w:pStyle w:val="ListParagraph"/>
        <w:numPr>
          <w:ilvl w:val="0"/>
          <w:numId w:val="2"/>
        </w:numPr>
        <w:spacing w:before="60" w:after="60"/>
      </w:pPr>
      <w:r>
        <w:rPr>
          <w:rFonts w:ascii="Arial" w:cs="Arial" w:eastAsia="Arial" w:hAnsi="Arial"/>
          <w:b/>
          <w:bCs/>
          <w:sz w:val="22"/>
          <w:szCs w:val="22"/>
        </w:rPr>
        <w:t xml:space="preserve">Start with the 38 Immediate Reviews — </w:t>
      </w:r>
      <w:r>
        <w:rPr>
          <w:rFonts w:ascii="Arial" w:cs="Arial" w:eastAsia="Arial" w:hAnsi="Arial"/>
          <w:sz w:val="22"/>
          <w:szCs w:val="22"/>
        </w:rPr>
        <w:t xml:space="preserve">these employees are below band minimum and performing. They carry the highest legal and retention risk.</w:t>
      </w:r>
    </w:p>
    <w:p>
      <w:pPr>
        <w:pStyle w:val="ListParagraph"/>
        <w:numPr>
          <w:ilvl w:val="0"/>
          <w:numId w:val="2"/>
        </w:numPr>
        <w:spacing w:before="60" w:after="60"/>
      </w:pPr>
      <w:r>
        <w:rPr>
          <w:rFonts w:ascii="Arial" w:cs="Arial" w:eastAsia="Arial" w:hAnsi="Arial"/>
          <w:b/>
          <w:bCs/>
          <w:sz w:val="22"/>
          <w:szCs w:val="22"/>
        </w:rPr>
        <w:t xml:space="preserve">Move to the 28 Priority Increases — </w:t>
      </w:r>
      <w:r>
        <w:rPr>
          <w:rFonts w:ascii="Arial" w:cs="Arial" w:eastAsia="Arial" w:hAnsi="Arial"/>
          <w:sz w:val="22"/>
          <w:szCs w:val="22"/>
        </w:rPr>
        <w:t xml:space="preserve">high performers with compa-ratios below 90 are your most flight-risk talent. Losing them is expensive.</w:t>
      </w:r>
    </w:p>
    <w:p>
      <w:pPr>
        <w:pStyle w:val="ListParagraph"/>
        <w:numPr>
          <w:ilvl w:val="0"/>
          <w:numId w:val="2"/>
        </w:numPr>
        <w:spacing w:before="60" w:after="60"/>
      </w:pPr>
      <w:r>
        <w:rPr>
          <w:rFonts w:ascii="Arial" w:cs="Arial" w:eastAsia="Arial" w:hAnsi="Arial"/>
          <w:b/>
          <w:bCs/>
          <w:sz w:val="22"/>
          <w:szCs w:val="22"/>
        </w:rPr>
        <w:t xml:space="preserve">Address the 25 Grade Progressions — </w:t>
      </w:r>
      <w:r>
        <w:rPr>
          <w:rFonts w:ascii="Arial" w:cs="Arial" w:eastAsia="Arial" w:hAnsi="Arial"/>
          <w:sz w:val="22"/>
          <w:szCs w:val="22"/>
        </w:rPr>
        <w:t xml:space="preserve">these employees have outgrown their band. A salary freeze without a grade conversation will disengage them.</w:t>
      </w:r>
    </w:p>
    <w:p>
      <w:pPr>
        <w:pStyle w:val="ListParagraph"/>
        <w:numPr>
          <w:ilvl w:val="0"/>
          <w:numId w:val="2"/>
        </w:numPr>
        <w:spacing w:before="60" w:after="60"/>
      </w:pPr>
      <w:r>
        <w:rPr>
          <w:rFonts w:ascii="Arial" w:cs="Arial" w:eastAsia="Arial" w:hAnsi="Arial"/>
          <w:b/>
          <w:bCs/>
          <w:sz w:val="22"/>
          <w:szCs w:val="22"/>
        </w:rPr>
        <w:t xml:space="preserve">Implement the 41 Salary Freezes — </w:t>
      </w:r>
      <w:r>
        <w:rPr>
          <w:rFonts w:ascii="Arial" w:cs="Arial" w:eastAsia="Arial" w:hAnsi="Arial"/>
          <w:sz w:val="22"/>
          <w:szCs w:val="22"/>
        </w:rPr>
        <w:t xml:space="preserve">above-band employees with low performance should not receive increases until performance improves.</w:t>
      </w:r>
    </w:p>
    <w:p>
      <w:pPr>
        <w:pStyle w:val="ListParagraph"/>
        <w:numPr>
          <w:ilvl w:val="0"/>
          <w:numId w:val="2"/>
        </w:numPr>
        <w:spacing w:before="60" w:after="60"/>
      </w:pPr>
      <w:r>
        <w:rPr>
          <w:rFonts w:ascii="Arial" w:cs="Arial" w:eastAsia="Arial" w:hAnsi="Arial"/>
          <w:b/>
          <w:bCs/>
          <w:sz w:val="22"/>
          <w:szCs w:val="22"/>
        </w:rPr>
        <w:t xml:space="preserve">Cost the full action plan — </w:t>
      </w:r>
      <w:r>
        <w:rPr>
          <w:rFonts w:ascii="Arial" w:cs="Arial" w:eastAsia="Arial" w:hAnsi="Arial"/>
          <w:sz w:val="22"/>
          <w:szCs w:val="22"/>
        </w:rPr>
        <w:t xml:space="preserve">use the cost_to_minimum field in the CSV to build the budget submission for Finance.</w:t>
      </w:r>
    </w:p>
    <w:p>
      <w:pPr>
        <w:spacing w:before="120" w:after="120"/>
      </w:pPr>
    </w:p>
    <w:p>
      <w:r>
        <w:br w:type="page"/>
      </w:r>
    </w:p>
    <w:p>
      <w:pPr>
        <w:pStyle w:val="Heading1"/>
        <w:spacing w:before="320" w:after="160"/>
      </w:pPr>
      <w:r>
        <w:rPr>
          <w:rFonts w:ascii="Arial" w:cs="Arial" w:eastAsia="Arial" w:hAnsi="Arial"/>
          <w:b/>
          <w:bCs/>
          <w:color w:val="1F4E79"/>
          <w:sz w:val="32"/>
          <w:szCs w:val="32"/>
        </w:rPr>
        <w:t xml:space="preserve">Section 4: Department &amp; Grade Findings</w:t>
      </w:r>
    </w:p>
    <w:p>
      <w:pPr>
        <w:pBdr>
          <w:bottom w:val="single" w:color="2E75B6" w:sz="6" w:space="1"/>
        </w:pBdr>
        <w:spacing w:before="160" w:after="160"/>
      </w:pPr>
    </w:p>
    <w:p>
      <w:pPr>
        <w:pStyle w:val="Heading2"/>
        <w:spacing w:before="240" w:after="120"/>
      </w:pPr>
      <w:r>
        <w:rPr>
          <w:rFonts w:ascii="Arial" w:cs="Arial" w:eastAsia="Arial" w:hAnsi="Arial"/>
          <w:b/>
          <w:bCs/>
          <w:color w:val="2E74B5"/>
          <w:sz w:val="26"/>
          <w:szCs w:val="26"/>
        </w:rPr>
        <w:t xml:space="preserve">Finance — most underpaid department</w:t>
      </w:r>
    </w:p>
    <w:p>
      <w:pPr>
        <w:spacing w:before="80" w:after="80"/>
      </w:pPr>
      <w:r>
        <w:rPr>
          <w:rFonts w:ascii="Arial" w:cs="Arial" w:eastAsia="Arial" w:hAnsi="Arial"/>
          <w:sz w:val="22"/>
          <w:szCs w:val="22"/>
        </w:rPr>
        <w:t xml:space="preserve">Finance has the lowest average compa-ratio at 97.9, sitting below the market midpoint line. Combined with a 12% attrition rate identified in the Headcount Planner project, Finance is the department with the highest combined pay and retention risk. A targeted pay review for Finance should be the first recommendation to the CHRO.</w:t>
      </w:r>
    </w:p>
    <w:p>
      <w:pPr>
        <w:pStyle w:val="Heading2"/>
        <w:spacing w:before="240" w:after="120"/>
      </w:pPr>
      <w:r>
        <w:rPr>
          <w:rFonts w:ascii="Arial" w:cs="Arial" w:eastAsia="Arial" w:hAnsi="Arial"/>
          <w:b/>
          <w:bCs/>
          <w:color w:val="2E74B5"/>
          <w:sz w:val="26"/>
          <w:szCs w:val="26"/>
        </w:rPr>
        <w:t xml:space="preserve">IT — underpaid and hardest to hire</w:t>
      </w:r>
    </w:p>
    <w:p>
      <w:pPr>
        <w:spacing w:before="80" w:after="80"/>
      </w:pPr>
      <w:r>
        <w:rPr>
          <w:rFonts w:ascii="Arial" w:cs="Arial" w:eastAsia="Arial" w:hAnsi="Arial"/>
          <w:sz w:val="22"/>
          <w:szCs w:val="22"/>
        </w:rPr>
        <w:t xml:space="preserve">IT has an average compa-ratio of 99.0 and the longest time to fill at 55 days from the Headcount Planner project. IT roles are in high demand across the UAE market. Employees who feel underpaid in IT have the most external options and the lowest switching cost. The top 10 priority list includes two IT employees at compa-ratio 70 — 30% below market midpoint.</w:t>
      </w:r>
    </w:p>
    <w:p>
      <w:pPr>
        <w:pStyle w:val="Heading2"/>
        <w:spacing w:before="240" w:after="120"/>
      </w:pPr>
      <w:r>
        <w:rPr>
          <w:rFonts w:ascii="Arial" w:cs="Arial" w:eastAsia="Arial" w:hAnsi="Arial"/>
          <w:b/>
          <w:bCs/>
          <w:color w:val="2E74B5"/>
          <w:sz w:val="26"/>
          <w:szCs w:val="26"/>
        </w:rPr>
        <w:t xml:space="preserve">Sales — highest attrition, significant flight risk</w:t>
      </w:r>
    </w:p>
    <w:p>
      <w:pPr>
        <w:spacing w:before="80" w:after="80"/>
      </w:pPr>
      <w:r>
        <w:rPr>
          <w:rFonts w:ascii="Arial" w:cs="Arial" w:eastAsia="Arial" w:hAnsi="Arial"/>
          <w:sz w:val="22"/>
          <w:szCs w:val="22"/>
        </w:rPr>
        <w:t xml:space="preserve">Sales has the highest attrition rate at 18% from the Attrition Risk Model project and appears four times in the top 10 priority list. The combination of high natural attrition and underpayment makes Sales the most volatile department in the organisation. A compensation intervention here has the highest return on investment.</w:t>
      </w:r>
    </w:p>
    <w:p>
      <w:pPr>
        <w:pStyle w:val="Heading2"/>
        <w:spacing w:before="240" w:after="120"/>
      </w:pPr>
      <w:r>
        <w:rPr>
          <w:rFonts w:ascii="Arial" w:cs="Arial" w:eastAsia="Arial" w:hAnsi="Arial"/>
          <w:b/>
          <w:bCs/>
          <w:color w:val="2E74B5"/>
          <w:sz w:val="26"/>
          <w:szCs w:val="26"/>
        </w:rPr>
        <w:t xml:space="preserve">G1 — most exposed grade</w:t>
      </w:r>
    </w:p>
    <w:p>
      <w:pPr>
        <w:spacing w:before="80" w:after="80"/>
      </w:pPr>
      <w:r>
        <w:rPr>
          <w:rFonts w:ascii="Arial" w:cs="Arial" w:eastAsia="Arial" w:hAnsi="Arial"/>
          <w:sz w:val="22"/>
          <w:szCs w:val="22"/>
        </w:rPr>
        <w:t xml:space="preserve">G1 has 35 pay-related flight risks — the highest of any grade. Junior employees are often hired at competitive rates but then receive lower percentage increases over time, causing them to fall behind market as the overall salary distribution shifts upward. A regular market benchmarking cycle catches this drift before it becomes a resignation.</w:t>
      </w:r>
    </w:p>
    <w:p>
      <w:pPr>
        <w:spacing w:before="120" w:after="120"/>
      </w:pPr>
    </w:p>
    <w:p>
      <w:r>
        <w:br w:type="page"/>
      </w:r>
    </w:p>
    <w:p>
      <w:pPr>
        <w:pStyle w:val="Heading1"/>
        <w:spacing w:before="320" w:after="160"/>
      </w:pPr>
      <w:r>
        <w:rPr>
          <w:rFonts w:ascii="Arial" w:cs="Arial" w:eastAsia="Arial" w:hAnsi="Arial"/>
          <w:b/>
          <w:bCs/>
          <w:color w:val="1F4E79"/>
          <w:sz w:val="32"/>
          <w:szCs w:val="32"/>
        </w:rPr>
        <w:t xml:space="preserve">Section 5: How This Connects to Projects 1 and 2</w:t>
      </w:r>
    </w:p>
    <w:p>
      <w:pPr>
        <w:pBdr>
          <w:bottom w:val="single" w:color="2E75B6" w:sz="6" w:space="1"/>
        </w:pBdr>
        <w:spacing w:before="160" w:after="160"/>
      </w:pPr>
    </w:p>
    <w:p>
      <w:pPr>
        <w:spacing w:before="80" w:after="80"/>
      </w:pPr>
      <w:r>
        <w:rPr>
          <w:rFonts w:ascii="Arial" w:cs="Arial" w:eastAsia="Arial" w:hAnsi="Arial"/>
          <w:sz w:val="22"/>
          <w:szCs w:val="22"/>
        </w:rPr>
        <w:t xml:space="preserve">One of the most powerful aspects of building a portfolio of connected projects is that insights from one project reinforce and amplify findings from another. Here is how the three projects link together:</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38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Project 1 — Attrition</w:t>
            </w:r>
          </w:p>
        </w:tc>
        <w:tc>
          <w:tcPr>
            <w:tcW w:type="dxa" w:w="238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Project 2 — Headcount</w:t>
            </w:r>
          </w:p>
        </w:tc>
        <w:tc>
          <w:tcPr>
            <w:tcW w:type="dxa" w:w="238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Project 3 — Compensation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Finance risk</w:t>
            </w:r>
          </w:p>
        </w:tc>
        <w:tc>
          <w:tcPr>
            <w:tcW w:type="dxa" w:w="238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 attrition signal</w:t>
            </w:r>
          </w:p>
        </w:tc>
        <w:tc>
          <w:tcPr>
            <w:tcW w:type="dxa" w:w="23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Lowest compa-ratio dept</w:t>
            </w:r>
          </w:p>
        </w:tc>
        <w:tc>
          <w:tcPr>
            <w:tcW w:type="dxa" w:w="23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Most underpaid dept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pressure</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attrition rate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 gross hires, 55-day fill</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G3 IT employees at compa 70</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Sales volatility</w:t>
            </w:r>
          </w:p>
        </w:tc>
        <w:tc>
          <w:tcPr>
            <w:tcW w:type="dxa" w:w="238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Highest attrition at 18%</w:t>
            </w:r>
          </w:p>
        </w:tc>
        <w:tc>
          <w:tcPr>
            <w:tcW w:type="dxa" w:w="23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62 gross hires needed</w:t>
            </w:r>
          </w:p>
        </w:tc>
        <w:tc>
          <w:tcPr>
            <w:tcW w:type="dxa" w:w="23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 employees in top 10 priority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of inaction</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Attrition costs 50-200% of salary</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AED 22.7M hiring budget</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AED 490,800 to fix below-band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G1 exposure</w:t>
            </w:r>
          </w:p>
        </w:tc>
        <w:tc>
          <w:tcPr>
            <w:tcW w:type="dxa" w:w="238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35 pay-related flight risks</w:t>
            </w:r>
          </w:p>
        </w:tc>
        <w:tc>
          <w:tcPr>
            <w:tcW w:type="dxa" w:w="23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 volume junior hiring</w:t>
            </w:r>
          </w:p>
        </w:tc>
        <w:tc>
          <w:tcPr>
            <w:tcW w:type="dxa" w:w="23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Most below-band employees</w:t>
            </w:r>
          </w:p>
        </w:tc>
      </w:tr>
    </w:tbl>
    <w:p>
      <w:pPr>
        <w:spacing w:before="120" w:after="120"/>
      </w:pPr>
    </w:p>
    <w:p>
      <w:pPr>
        <w:spacing w:before="80" w:after="80"/>
      </w:pPr>
      <w:r>
        <w:rPr>
          <w:rFonts w:ascii="Arial" w:cs="Arial" w:eastAsia="Arial" w:hAnsi="Arial"/>
          <w:sz w:val="22"/>
          <w:szCs w:val="22"/>
        </w:rPr>
        <w:t xml:space="preserve">The narrative this creates for a CHRO presentation is powerful: our workforce data consistently points to Finance, IT and Sales as the highest risk areas across retention, hiring capacity and compensation positioning. A coordinated intervention across all three dimensions — targeted pay reviews, accelerated hiring pipelines and engagement programmes — would have the greatest impact on organisational stability.</w:t>
      </w:r>
    </w:p>
    <w:p>
      <w:pPr>
        <w:spacing w:before="120" w:after="120"/>
      </w:pPr>
    </w:p>
    <w:p>
      <w:r>
        <w:br w:type="page"/>
      </w:r>
    </w:p>
    <w:p>
      <w:pPr>
        <w:pStyle w:val="Heading1"/>
        <w:spacing w:before="320" w:after="160"/>
      </w:pPr>
      <w:r>
        <w:rPr>
          <w:rFonts w:ascii="Arial" w:cs="Arial" w:eastAsia="Arial" w:hAnsi="Arial"/>
          <w:b/>
          <w:bCs/>
          <w:color w:val="1F4E79"/>
          <w:sz w:val="32"/>
          <w:szCs w:val="32"/>
        </w:rPr>
        <w:t xml:space="preserve">Section 6: Questions &amp; Answers</w:t>
      </w:r>
    </w:p>
    <w:p>
      <w:pPr>
        <w:pBdr>
          <w:bottom w:val="single" w:color="2E75B6" w:sz="6" w:space="1"/>
        </w:pBdr>
        <w:spacing w:before="160" w:after="160"/>
      </w:pPr>
    </w:p>
    <w:p>
      <w:pPr>
        <w:spacing w:before="80" w:after="80"/>
      </w:pPr>
      <w:r>
        <w:rPr>
          <w:rFonts w:ascii="Arial" w:cs="Arial" w:eastAsia="Arial" w:hAnsi="Arial"/>
          <w:sz w:val="22"/>
          <w:szCs w:val="22"/>
        </w:rPr>
        <w:t xml:space="preserve">Use these to test and reinforce your understanding. Cover the answer and try explaining it in your own words first.</w:t>
      </w:r>
    </w:p>
    <w:p>
      <w:pPr>
        <w:spacing w:before="120" w:after="120"/>
      </w:pPr>
    </w:p>
    <w:p>
      <w:pPr>
        <w:pStyle w:val="Heading2"/>
        <w:spacing w:before="240" w:after="120"/>
      </w:pPr>
      <w:r>
        <w:rPr>
          <w:rFonts w:ascii="Arial" w:cs="Arial" w:eastAsia="Arial" w:hAnsi="Arial"/>
          <w:b/>
          <w:bCs/>
          <w:color w:val="2E74B5"/>
          <w:sz w:val="26"/>
          <w:szCs w:val="26"/>
        </w:rPr>
        <w:t xml:space="preserve">About the project</w:t>
      </w:r>
    </w:p>
    <w:p>
      <w:pPr>
        <w:spacing w:before="180" w:after="60"/>
      </w:pPr>
      <w:r>
        <w:rPr>
          <w:rFonts w:ascii="Arial" w:cs="Arial" w:eastAsia="Arial" w:hAnsi="Arial"/>
          <w:b/>
          <w:bCs/>
          <w:color w:val="1F4E79"/>
          <w:sz w:val="22"/>
          <w:szCs w:val="22"/>
        </w:rPr>
        <w:t xml:space="preserve">Q: Walk me through your compensation benchmarking project.</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I built a compensation benchmarking tool that analyses 500 employees across 6 grades and 6 departments. The model calculates compa-ratios, assigns pay band positions, flags gender pay gaps by grade, and generates a prioritised action report for the Total Rewards team. The key finding was that 66 employees need immediate or priority pay action, and that fixing all below-band employees costs AED 490,800 annually — far less than the cost of losing and replacing them. The project also revealed that Finance is the most systematically underpaid department and that G3 and G4 show a 3.8 to 3.9% gender pay gap favouring males, which is a fairness and legal risk that needs investigation.</w:t>
      </w:r>
    </w:p>
    <w:p>
      <w:pPr>
        <w:spacing w:before="180" w:after="60"/>
      </w:pPr>
      <w:r>
        <w:rPr>
          <w:rFonts w:ascii="Arial" w:cs="Arial" w:eastAsia="Arial" w:hAnsi="Arial"/>
          <w:b/>
          <w:bCs/>
          <w:color w:val="1F4E79"/>
          <w:sz w:val="22"/>
          <w:szCs w:val="22"/>
        </w:rPr>
        <w:t xml:space="preserve">Q: What is a compa-ratio and how do you use it?</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A compa-ratio measures an employee's salary as a percentage of the market midpoint for their grade. The formula is actual salary divided by market midpoint multiplied by 100. A score of 100 means exactly at market. Below 90 indicates underpayment and flight risk. Above 110 indicates overpayment and budget exposure. In practice I use compa-ratios to prioritise salary reviews — employees with the lowest compa-ratios who are also high performers are the most urgent cases because they have the most to gain by leaving and the most value to protect by retaining.</w:t>
      </w:r>
    </w:p>
    <w:p>
      <w:pPr>
        <w:spacing w:before="180" w:after="60"/>
      </w:pPr>
      <w:r>
        <w:rPr>
          <w:rFonts w:ascii="Arial" w:cs="Arial" w:eastAsia="Arial" w:hAnsi="Arial"/>
          <w:b/>
          <w:bCs/>
          <w:color w:val="1F4E79"/>
          <w:sz w:val="22"/>
          <w:szCs w:val="22"/>
        </w:rPr>
        <w:t xml:space="preserve">Q: How did you identify the gender pay gap?</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I calculated the average compa-ratio separately for male and female employees within each grade, then computed the percentage difference. Analysing within grade is essential — comparing across grades would conflate pay differences with seniority differences and give a misleading picture. The analysis showed a 3.9% gap at G3 and 3.8% at G4 favouring males. These mid-career grades are where gender pay inequity typically embeds itself over time through differential starting salaries and smaller increase percentages for women.</w:t>
      </w:r>
    </w:p>
    <w:p>
      <w:pPr>
        <w:spacing w:before="180" w:after="60"/>
      </w:pPr>
      <w:r>
        <w:rPr>
          <w:rFonts w:ascii="Arial" w:cs="Arial" w:eastAsia="Arial" w:hAnsi="Arial"/>
          <w:b/>
          <w:bCs/>
          <w:color w:val="1F4E79"/>
          <w:sz w:val="22"/>
          <w:szCs w:val="22"/>
        </w:rPr>
        <w:t xml:space="preserve">Q: What is the business case for fixing below-band salaries?</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The annual cost to bring all 44 below-band employees to their grade minimum is AED 490,800. The cost to replace a single mid-level employee is conservatively 100% of their annual salary — roughly AED 216,000 for a G3 employee earning AED 18,000 per month. Losing just three of those 44 employees costs more than fixing all of them. The business case writes itself — proactive compensation management is one of the highest-return investments HR can make.</w:t>
      </w:r>
    </w:p>
    <w:p>
      <w:pPr>
        <w:pStyle w:val="Heading2"/>
        <w:spacing w:before="240" w:after="120"/>
      </w:pPr>
      <w:r>
        <w:rPr>
          <w:rFonts w:ascii="Arial" w:cs="Arial" w:eastAsia="Arial" w:hAnsi="Arial"/>
          <w:b/>
          <w:bCs/>
          <w:color w:val="2E74B5"/>
          <w:sz w:val="26"/>
          <w:szCs w:val="26"/>
        </w:rPr>
        <w:t xml:space="preserve">About compensation strategy</w:t>
      </w:r>
    </w:p>
    <w:p>
      <w:pPr>
        <w:spacing w:before="180" w:after="60"/>
      </w:pPr>
      <w:r>
        <w:rPr>
          <w:rFonts w:ascii="Arial" w:cs="Arial" w:eastAsia="Arial" w:hAnsi="Arial"/>
          <w:b/>
          <w:bCs/>
          <w:color w:val="1F4E79"/>
          <w:sz w:val="22"/>
          <w:szCs w:val="22"/>
        </w:rPr>
        <w:t xml:space="preserve">Q: How do you conduct a salary benchmarking exercise in a real organisation?</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The process starts with obtaining market data from a recognised salary survey provider such as Mercer, Willis Towers Watson or Korn Ferry Hay Group. You match your internal job grades to the survey's job levels using a job evaluation methodology. You then pull the market P25, P50 and P75 data for each grade and compare your internal salary distribution against those percentiles. You calculate compa-ratios, identify outliers, and build a cost model for corrections. The output goes to the CHRO and CFO together — it is both an HR and a finance conversation.</w:t>
      </w:r>
    </w:p>
    <w:p>
      <w:pPr>
        <w:spacing w:before="180" w:after="60"/>
      </w:pPr>
      <w:r>
        <w:rPr>
          <w:rFonts w:ascii="Arial" w:cs="Arial" w:eastAsia="Arial" w:hAnsi="Arial"/>
          <w:b/>
          <w:bCs/>
          <w:color w:val="1F4E79"/>
          <w:sz w:val="22"/>
          <w:szCs w:val="22"/>
        </w:rPr>
        <w:t xml:space="preserve">Q: What is pay equity and how is it different from equal pay?</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Equal pay means paying the same salary for the same job — it is a legal requirement in most jurisdictions. Pay equity is broader — it asks whether employees are paid fairly relative to their contribution, experience and market value, regardless of gender, nationality or other protected characteristics. In the UAE context, pay equity also intersects with Emiratisation policy, where national employees may be paid differently as part of a deliberate workforce strategy. A compensation benchmarking exercise should examine both dimensions.</w:t>
      </w:r>
    </w:p>
    <w:p>
      <w:pPr>
        <w:spacing w:before="180" w:after="60"/>
      </w:pPr>
      <w:r>
        <w:rPr>
          <w:rFonts w:ascii="Arial" w:cs="Arial" w:eastAsia="Arial" w:hAnsi="Arial"/>
          <w:b/>
          <w:bCs/>
          <w:color w:val="1F4E79"/>
          <w:sz w:val="22"/>
          <w:szCs w:val="22"/>
        </w:rPr>
        <w:t xml:space="preserve">Q: How would you present the gender pay gap findings to a leadership team?</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I would present the data factually and without defensiveness. I would show the grade-level compa-ratio analysis and highlight that G3 and G4 show a 3.9% and 3.8% gap favouring males respectively. I would then explain that this does not necessarily indicate intentional discrimination — it often results from differential starting salaries, lower increase percentages over time, or slower progression through the band. I would recommend an audit of starting salary decisions and increase history for these two grades, and propose a correction budget if gaps are confirmed as unjustified.</w:t>
      </w:r>
    </w:p>
    <w:p>
      <w:pPr>
        <w:spacing w:before="120" w:after="120"/>
      </w:pPr>
    </w:p>
    <w:p>
      <w:r>
        <w:br w:type="page"/>
      </w:r>
    </w:p>
    <w:p>
      <w:pPr>
        <w:pStyle w:val="Heading1"/>
        <w:spacing w:before="320" w:after="160"/>
      </w:pPr>
      <w:r>
        <w:rPr>
          <w:rFonts w:ascii="Arial" w:cs="Arial" w:eastAsia="Arial" w:hAnsi="Arial"/>
          <w:b/>
          <w:bCs/>
          <w:color w:val="1F4E79"/>
          <w:sz w:val="32"/>
          <w:szCs w:val="32"/>
        </w:rPr>
        <w:t xml:space="preserve">Section 7: Project Files Reference</w:t>
      </w:r>
    </w:p>
    <w:p>
      <w:pPr>
        <w:pBdr>
          <w:bottom w:val="single" w:color="2E75B6" w:sz="6" w:space="1"/>
        </w:pBdr>
        <w:spacing w:before="160" w:after="160"/>
      </w:pPr>
    </w:p>
    <w:p>
      <w:pPr>
        <w:spacing w:before="80" w:after="80"/>
      </w:pPr>
      <w:r>
        <w:rPr>
          <w:rFonts w:ascii="Arial" w:cs="Arial" w:eastAsia="Arial" w:hAnsi="Arial"/>
          <w:sz w:val="22"/>
          <w:szCs w:val="22"/>
        </w:rPr>
        <w:t xml:space="preserve">These are the files generated by this project. All are uploaded to your GitHub repository at:</w:t>
      </w:r>
    </w:p>
    <w:p>
      <w:pPr>
        <w:spacing w:before="80" w:after="80"/>
      </w:pPr>
      <w:r>
        <w:rPr>
          <w:rFonts w:ascii="Arial" w:cs="Arial" w:eastAsia="Arial" w:hAnsi="Arial"/>
          <w:sz w:val="22"/>
          <w:szCs w:val="22"/>
        </w:rPr>
        <w:t xml:space="preserve">github.com/aabhinavindian-cell/hr-compensation-benchmarking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it goes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03_compensation_benchmarking.ipynb</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Jupyter notebook with all 6 blocks of code</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Root of repository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compensation_dashboard.png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6-chart dashboard: pay position, compa-ratio by grade, gender pay gap, flight risk, department compa-ratio, salary distribution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of repository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compensation_action_report.csv</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Employee-level compa-ratios, pay positions, recommended actions and cost to minimum</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Root of repository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description written for a non-technical audience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of repository</w:t>
            </w:r>
          </w:p>
        </w:tc>
      </w:tr>
    </w:tbl>
    <w:p>
      <w:pPr>
        <w:spacing w:before="120" w:after="120"/>
      </w:pPr>
    </w:p>
    <w:p>
      <w:pPr>
        <w:pStyle w:val="Heading2"/>
        <w:spacing w:before="240" w:after="120"/>
      </w:pPr>
      <w:r>
        <w:rPr>
          <w:rFonts w:ascii="Arial" w:cs="Arial" w:eastAsia="Arial" w:hAnsi="Arial"/>
          <w:b/>
          <w:bCs/>
          <w:color w:val="2E74B5"/>
          <w:sz w:val="26"/>
          <w:szCs w:val="26"/>
        </w:rPr>
        <w:t xml:space="preserve">Key numbers to know by heart</w:t>
      </w:r>
    </w:p>
    <w:p>
      <w:pPr>
        <w:pStyle w:val="ListParagraph"/>
        <w:numPr>
          <w:ilvl w:val="0"/>
          <w:numId w:val="2"/>
        </w:numPr>
        <w:spacing w:before="60" w:after="60"/>
      </w:pPr>
      <w:r>
        <w:rPr>
          <w:rFonts w:ascii="Arial" w:cs="Arial" w:eastAsia="Arial" w:hAnsi="Arial"/>
          <w:b/>
          <w:bCs/>
          <w:sz w:val="22"/>
          <w:szCs w:val="22"/>
        </w:rPr>
        <w:t xml:space="preserve">500 </w:t>
      </w:r>
      <w:r>
        <w:rPr>
          <w:rFonts w:ascii="Arial" w:cs="Arial" w:eastAsia="Arial" w:hAnsi="Arial"/>
          <w:sz w:val="22"/>
          <w:szCs w:val="22"/>
        </w:rPr>
        <w:t xml:space="preserve">employees analysed across 6 grades and 6 departments</w:t>
      </w:r>
    </w:p>
    <w:p>
      <w:pPr>
        <w:pStyle w:val="ListParagraph"/>
        <w:numPr>
          <w:ilvl w:val="0"/>
          <w:numId w:val="2"/>
        </w:numPr>
        <w:spacing w:before="60" w:after="60"/>
      </w:pPr>
      <w:r>
        <w:rPr>
          <w:rFonts w:ascii="Arial" w:cs="Arial" w:eastAsia="Arial" w:hAnsi="Arial"/>
          <w:b/>
          <w:bCs/>
          <w:sz w:val="22"/>
          <w:szCs w:val="22"/>
        </w:rPr>
        <w:t xml:space="preserve">80.4% </w:t>
      </w:r>
      <w:r>
        <w:rPr>
          <w:rFonts w:ascii="Arial" w:cs="Arial" w:eastAsia="Arial" w:hAnsi="Arial"/>
          <w:sz w:val="22"/>
          <w:szCs w:val="22"/>
        </w:rPr>
        <w:t xml:space="preserve">employees within pay band — healthy majority</w:t>
      </w:r>
    </w:p>
    <w:p>
      <w:pPr>
        <w:pStyle w:val="ListParagraph"/>
        <w:numPr>
          <w:ilvl w:val="0"/>
          <w:numId w:val="2"/>
        </w:numPr>
        <w:spacing w:before="60" w:after="60"/>
      </w:pPr>
      <w:r>
        <w:rPr>
          <w:rFonts w:ascii="Arial" w:cs="Arial" w:eastAsia="Arial" w:hAnsi="Arial"/>
          <w:b/>
          <w:bCs/>
          <w:sz w:val="22"/>
          <w:szCs w:val="22"/>
        </w:rPr>
        <w:t xml:space="preserve">44 </w:t>
      </w:r>
      <w:r>
        <w:rPr>
          <w:rFonts w:ascii="Arial" w:cs="Arial" w:eastAsia="Arial" w:hAnsi="Arial"/>
          <w:sz w:val="22"/>
          <w:szCs w:val="22"/>
        </w:rPr>
        <w:t xml:space="preserve">employees below band — immediate cost and retention risk</w:t>
      </w:r>
    </w:p>
    <w:p>
      <w:pPr>
        <w:pStyle w:val="ListParagraph"/>
        <w:numPr>
          <w:ilvl w:val="0"/>
          <w:numId w:val="2"/>
        </w:numPr>
        <w:spacing w:before="60" w:after="60"/>
      </w:pPr>
      <w:r>
        <w:rPr>
          <w:rFonts w:ascii="Arial" w:cs="Arial" w:eastAsia="Arial" w:hAnsi="Arial"/>
          <w:b/>
          <w:bCs/>
          <w:sz w:val="22"/>
          <w:szCs w:val="22"/>
        </w:rPr>
        <w:t xml:space="preserve">54 </w:t>
      </w:r>
      <w:r>
        <w:rPr>
          <w:rFonts w:ascii="Arial" w:cs="Arial" w:eastAsia="Arial" w:hAnsi="Arial"/>
          <w:sz w:val="22"/>
          <w:szCs w:val="22"/>
        </w:rPr>
        <w:t xml:space="preserve">employees above band — budget exposure</w:t>
      </w:r>
    </w:p>
    <w:p>
      <w:pPr>
        <w:pStyle w:val="ListParagraph"/>
        <w:numPr>
          <w:ilvl w:val="0"/>
          <w:numId w:val="2"/>
        </w:numPr>
        <w:spacing w:before="60" w:after="60"/>
      </w:pPr>
      <w:r>
        <w:rPr>
          <w:rFonts w:ascii="Arial" w:cs="Arial" w:eastAsia="Arial" w:hAnsi="Arial"/>
          <w:b/>
          <w:bCs/>
          <w:sz w:val="22"/>
          <w:szCs w:val="22"/>
        </w:rPr>
        <w:t xml:space="preserve">123 </w:t>
      </w:r>
      <w:r>
        <w:rPr>
          <w:rFonts w:ascii="Arial" w:cs="Arial" w:eastAsia="Arial" w:hAnsi="Arial"/>
          <w:sz w:val="22"/>
          <w:szCs w:val="22"/>
        </w:rPr>
        <w:t xml:space="preserve">pay-related flight risks — 24.6% of workforce</w:t>
      </w:r>
    </w:p>
    <w:p>
      <w:pPr>
        <w:pStyle w:val="ListParagraph"/>
        <w:numPr>
          <w:ilvl w:val="0"/>
          <w:numId w:val="2"/>
        </w:numPr>
        <w:spacing w:before="60" w:after="60"/>
      </w:pPr>
      <w:r>
        <w:rPr>
          <w:rFonts w:ascii="Arial" w:cs="Arial" w:eastAsia="Arial" w:hAnsi="Arial"/>
          <w:b/>
          <w:bCs/>
          <w:sz w:val="22"/>
          <w:szCs w:val="22"/>
        </w:rPr>
        <w:t xml:space="preserve">66 </w:t>
      </w:r>
      <w:r>
        <w:rPr>
          <w:rFonts w:ascii="Arial" w:cs="Arial" w:eastAsia="Arial" w:hAnsi="Arial"/>
          <w:sz w:val="22"/>
          <w:szCs w:val="22"/>
        </w:rPr>
        <w:t xml:space="preserve">employees needing immediate or priority action</w:t>
      </w:r>
    </w:p>
    <w:p>
      <w:pPr>
        <w:pStyle w:val="ListParagraph"/>
        <w:numPr>
          <w:ilvl w:val="0"/>
          <w:numId w:val="2"/>
        </w:numPr>
        <w:spacing w:before="60" w:after="60"/>
      </w:pPr>
      <w:r>
        <w:rPr>
          <w:rFonts w:ascii="Arial" w:cs="Arial" w:eastAsia="Arial" w:hAnsi="Arial"/>
          <w:b/>
          <w:bCs/>
          <w:sz w:val="22"/>
          <w:szCs w:val="22"/>
        </w:rPr>
        <w:t xml:space="preserve">AED 490,800 </w:t>
      </w:r>
      <w:r>
        <w:rPr>
          <w:rFonts w:ascii="Arial" w:cs="Arial" w:eastAsia="Arial" w:hAnsi="Arial"/>
          <w:sz w:val="22"/>
          <w:szCs w:val="22"/>
        </w:rPr>
        <w:t xml:space="preserve">annual cost to fix all below-band employees</w:t>
      </w:r>
    </w:p>
    <w:p>
      <w:pPr>
        <w:pStyle w:val="ListParagraph"/>
        <w:numPr>
          <w:ilvl w:val="0"/>
          <w:numId w:val="2"/>
        </w:numPr>
        <w:spacing w:before="60" w:after="60"/>
      </w:pPr>
      <w:r>
        <w:rPr>
          <w:rFonts w:ascii="Arial" w:cs="Arial" w:eastAsia="Arial" w:hAnsi="Arial"/>
          <w:b/>
          <w:bCs/>
          <w:sz w:val="22"/>
          <w:szCs w:val="22"/>
        </w:rPr>
        <w:t xml:space="preserve">Finance 97.9 </w:t>
      </w:r>
      <w:r>
        <w:rPr>
          <w:rFonts w:ascii="Arial" w:cs="Arial" w:eastAsia="Arial" w:hAnsi="Arial"/>
          <w:sz w:val="22"/>
          <w:szCs w:val="22"/>
        </w:rPr>
        <w:t xml:space="preserve">lowest compa-ratio department — most underpaid</w:t>
      </w:r>
    </w:p>
    <w:p>
      <w:pPr>
        <w:pStyle w:val="ListParagraph"/>
        <w:numPr>
          <w:ilvl w:val="0"/>
          <w:numId w:val="2"/>
        </w:numPr>
        <w:spacing w:before="60" w:after="60"/>
      </w:pPr>
      <w:r>
        <w:rPr>
          <w:rFonts w:ascii="Arial" w:cs="Arial" w:eastAsia="Arial" w:hAnsi="Arial"/>
          <w:b/>
          <w:bCs/>
          <w:sz w:val="22"/>
          <w:szCs w:val="22"/>
        </w:rPr>
        <w:t xml:space="preserve">G3 and G4 3.9% and 3.8% </w:t>
      </w:r>
      <w:r>
        <w:rPr>
          <w:rFonts w:ascii="Arial" w:cs="Arial" w:eastAsia="Arial" w:hAnsi="Arial"/>
          <w:sz w:val="22"/>
          <w:szCs w:val="22"/>
        </w:rPr>
        <w:t xml:space="preserve">gender pay gap favouring males — key fairness risk</w:t>
      </w:r>
    </w:p>
    <w:p>
      <w:pPr>
        <w:pStyle w:val="ListParagraph"/>
        <w:numPr>
          <w:ilvl w:val="0"/>
          <w:numId w:val="2"/>
        </w:numPr>
        <w:spacing w:before="60" w:after="60"/>
      </w:pPr>
      <w:r>
        <w:rPr>
          <w:rFonts w:ascii="Arial" w:cs="Arial" w:eastAsia="Arial" w:hAnsi="Arial"/>
          <w:b/>
          <w:bCs/>
          <w:sz w:val="22"/>
          <w:szCs w:val="22"/>
        </w:rPr>
        <w:t xml:space="preserve">Compa-ratio 70 </w:t>
      </w:r>
      <w:r>
        <w:rPr>
          <w:rFonts w:ascii="Arial" w:cs="Arial" w:eastAsia="Arial" w:hAnsi="Arial"/>
          <w:sz w:val="22"/>
          <w:szCs w:val="22"/>
        </w:rPr>
        <w:t xml:space="preserve">lowest in the dataset — G3 IT and G2 Sales employees paid 30% below market</w:t>
      </w:r>
    </w:p>
    <w:p>
      <w:pPr>
        <w:pBdr>
          <w:bottom w:val="single" w:color="2E75B6" w:sz="6" w:space="1"/>
        </w:pBdr>
        <w:spacing w:before="160" w:after="160"/>
      </w:pPr>
    </w:p>
    <w:p>
      <w:pPr>
        <w:spacing w:before="120" w:after="80"/>
        <w:jc w:val="center"/>
      </w:pPr>
      <w:r>
        <w:rPr>
          <w:rFonts w:ascii="Arial" w:cs="Arial" w:eastAsia="Arial" w:hAnsi="Arial"/>
          <w:i/>
          <w:iCs/>
          <w:color w:val="595959"/>
          <w:sz w:val="18"/>
          <w:szCs w:val="18"/>
        </w:rPr>
        <w:t xml:space="preserve">Built with Python  |  pandas  |  numpy  |  scipy  |  matplotlib  |  seaborn</w:t>
      </w:r>
    </w:p>
    <w:p>
      <w:pPr>
        <w:spacing w:before="40" w:after="80"/>
        <w:jc w:val="center"/>
      </w:pPr>
      <w:r>
        <w:rPr>
          <w:rFonts w:ascii="Arial" w:cs="Arial" w:eastAsia="Arial" w:hAnsi="Arial"/>
          <w:i/>
          <w:iCs/>
          <w:color w:val="2E74B5"/>
          <w:sz w:val="18"/>
          <w:szCs w:val="18"/>
        </w:rPr>
        <w:t xml:space="preserve">github.com/aabhinavindian-cell  |  HR Analytics &amp; Insights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2026-03-20T22:07:31.797Z</dcterms:created>
  <dcterms:modified xsi:type="dcterms:W3CDTF">2026-03-20T22:07:31.799Z</dcterms:modified>
</cp:coreProperties>
</file>

<file path=docProps/custom.xml><?xml version="1.0" encoding="utf-8"?>
<Properties xmlns="http://schemas.openxmlformats.org/officeDocument/2006/custom-properties" xmlns:vt="http://schemas.openxmlformats.org/officeDocument/2006/docPropsVTypes"/>
</file>