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pPr>
    </w:p>
    <w:p>
      <w:pPr>
        <w:spacing w:before="480" w:after="120"/>
        <w:jc w:val="center"/>
      </w:pPr>
      <w:r>
        <w:rPr>
          <w:rFonts w:ascii="Arial" w:cs="Arial" w:eastAsia="Arial" w:hAnsi="Arial"/>
          <w:b/>
          <w:bCs/>
          <w:color w:val="1F4E79"/>
          <w:sz w:val="52"/>
          <w:szCs w:val="52"/>
        </w:rPr>
        <w:t xml:space="preserve">HR Headcount Planner</w:t>
      </w:r>
    </w:p>
    <w:p>
      <w:pPr>
        <w:spacing w:before="80" w:after="80"/>
        <w:jc w:val="center"/>
      </w:pPr>
      <w:r>
        <w:rPr>
          <w:rFonts w:ascii="Arial" w:cs="Arial" w:eastAsia="Arial" w:hAnsi="Arial"/>
          <w:color w:val="2E74B5"/>
          <w:sz w:val="30"/>
          <w:szCs w:val="30"/>
        </w:rPr>
        <w:t xml:space="preserve">Project Reference Guide</w:t>
      </w:r>
    </w:p>
    <w:p>
      <w:pPr>
        <w:spacing w:before="80" w:after="80"/>
        <w:jc w:val="center"/>
      </w:pPr>
      <w:r>
        <w:rPr>
          <w:rFonts w:ascii="Arial" w:cs="Arial" w:eastAsia="Arial" w:hAnsi="Arial"/>
          <w:color w:val="595959"/>
          <w:sz w:val="22"/>
          <w:szCs w:val="22"/>
        </w:rPr>
        <w:t xml:space="preserve">Prepared by Abhinav  |  HR Analytics &amp; Insights</w:t>
      </w:r>
    </w:p>
    <w:p>
      <w:pPr>
        <w:spacing w:before="80" w:after="480"/>
        <w:jc w:val="center"/>
      </w:pPr>
      <w:r>
        <w:rPr>
          <w:rFonts w:ascii="Arial" w:cs="Arial" w:eastAsia="Arial" w:hAnsi="Arial"/>
          <w:color w:val="2E74B5"/>
          <w:sz w:val="22"/>
          <w:szCs w:val="22"/>
        </w:rPr>
        <w:t xml:space="preserve">github.com/aabhinavindian-cell</w:t>
      </w:r>
    </w:p>
    <w:p>
      <w:r>
        <w:br w:type="page"/>
      </w:r>
    </w:p>
    <w:p>
      <w:pPr>
        <w:pStyle w:val="Heading1"/>
        <w:spacing w:before="320" w:after="160"/>
      </w:pPr>
      <w:r>
        <w:rPr>
          <w:rFonts w:ascii="Arial" w:cs="Arial" w:eastAsia="Arial" w:hAnsi="Arial"/>
          <w:b/>
          <w:bCs/>
          <w:color w:val="1F4E79"/>
          <w:sz w:val="32"/>
          <w:szCs w:val="32"/>
        </w:rPr>
        <w:t xml:space="preserve">Section 1: Project Overview</w:t>
      </w:r>
    </w:p>
    <w:p>
      <w:pPr>
        <w:pBdr>
          <w:bottom w:val="single" w:color="2E75B6" w:sz="6" w:space="1"/>
        </w:pBdr>
        <w:spacing w:before="160" w:after="160"/>
      </w:pPr>
    </w:p>
    <w:p>
      <w:pPr>
        <w:pStyle w:val="Heading2"/>
        <w:spacing w:before="240" w:after="120"/>
      </w:pPr>
      <w:r>
        <w:rPr>
          <w:rFonts w:ascii="Arial" w:cs="Arial" w:eastAsia="Arial" w:hAnsi="Arial"/>
          <w:b/>
          <w:bCs/>
          <w:color w:val="2E74B5"/>
          <w:sz w:val="26"/>
          <w:szCs w:val="26"/>
        </w:rPr>
        <w:t xml:space="preserve">What is this project?</w:t>
      </w:r>
    </w:p>
    <w:p>
      <w:pPr>
        <w:spacing w:before="80" w:after="80"/>
      </w:pPr>
      <w:r>
        <w:rPr>
          <w:rFonts w:ascii="Arial" w:cs="Arial" w:eastAsia="Arial" w:hAnsi="Arial"/>
          <w:sz w:val="22"/>
          <w:szCs w:val="22"/>
        </w:rPr>
        <w:t xml:space="preserve">The HR Headcount Planner is a workforce planning model that calculates how many people an organisation actually needs to hire to meet its growth targets — after accounting for employees who will leave through attrition and those who will move between departments through internal mobility.</w:t>
      </w:r>
    </w:p>
    <w:p>
      <w:pPr>
        <w:spacing w:before="80" w:after="80"/>
      </w:pPr>
      <w:r>
        <w:rPr>
          <w:rFonts w:ascii="Arial" w:cs="Arial" w:eastAsia="Arial" w:hAnsi="Arial"/>
          <w:sz w:val="22"/>
          <w:szCs w:val="22"/>
        </w:rPr>
        <w:t xml:space="preserve">Most organisations look only at the gap between current and target headcount. This project shows that the true hiring requirement is far larger — and builds a quarterly hiring plan with cost estimates that finance and HR leadership can act on.</w:t>
      </w:r>
    </w:p>
    <w:p>
      <w:pPr>
        <w:pStyle w:val="Heading2"/>
        <w:spacing w:before="240" w:after="120"/>
      </w:pPr>
      <w:r>
        <w:rPr>
          <w:rFonts w:ascii="Arial" w:cs="Arial" w:eastAsia="Arial" w:hAnsi="Arial"/>
          <w:b/>
          <w:bCs/>
          <w:color w:val="2E74B5"/>
          <w:sz w:val="26"/>
          <w:szCs w:val="26"/>
        </w:rPr>
        <w:t xml:space="preserve">The core insight</w:t>
      </w:r>
    </w:p>
    <w:p>
      <w:pPr>
        <w:spacing w:before="80" w:after="80"/>
      </w:pPr>
      <w:r>
        <w:rPr>
          <w:rFonts w:ascii="Arial" w:cs="Arial" w:eastAsia="Arial" w:hAnsi="Arial"/>
          <w:sz w:val="22"/>
          <w:szCs w:val="22"/>
        </w:rPr>
        <w:t xml:space="preserve">The business target requires 175 net new hires. After factoring in attrition and internal mobility, the true gross hiring requirement is 357 hires — more than double the headline number. This gap between what the business thinks HR needs to deliver and what HR actually needs to deliver is the most important conversation this project enables.</w:t>
      </w:r>
    </w:p>
    <w:p>
      <w:pPr>
        <w:pStyle w:val="Heading2"/>
        <w:spacing w:before="240" w:after="120"/>
      </w:pPr>
      <w:r>
        <w:rPr>
          <w:rFonts w:ascii="Arial" w:cs="Arial" w:eastAsia="Arial" w:hAnsi="Arial"/>
          <w:b/>
          <w:bCs/>
          <w:color w:val="2E74B5"/>
          <w:sz w:val="26"/>
          <w:szCs w:val="26"/>
        </w:rPr>
        <w:t xml:space="preserve">Project Summary in Numbers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Organisation size</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1,000 employees across 6 departments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headcount gap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175 employees</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Gross hiring required</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357 employees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Peak hiring quarters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Q2 and Q3 — 107 hires each</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Highest risk department</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IT — 55 days average time to fill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annual hiring investment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22,683,000 AED</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Hiring cost assumption</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 months salary per hire</w:t>
            </w:r>
          </w:p>
        </w:tc>
      </w:tr>
    </w:tbl>
    <w:p>
      <w:pPr>
        <w:spacing w:before="120" w:after="120"/>
      </w:pPr>
    </w:p>
    <w:p>
      <w:r>
        <w:br w:type="page"/>
      </w:r>
    </w:p>
    <w:p>
      <w:pPr>
        <w:pStyle w:val="Heading1"/>
        <w:spacing w:before="320" w:after="160"/>
      </w:pPr>
      <w:r>
        <w:rPr>
          <w:rFonts w:ascii="Arial" w:cs="Arial" w:eastAsia="Arial" w:hAnsi="Arial"/>
          <w:b/>
          <w:bCs/>
          <w:color w:val="1F4E79"/>
          <w:sz w:val="32"/>
          <w:szCs w:val="32"/>
        </w:rPr>
        <w:t xml:space="preserve">Section 2: The Planning Logic</w:t>
      </w:r>
    </w:p>
    <w:p>
      <w:pPr>
        <w:pBdr>
          <w:bottom w:val="single" w:color="2E75B6" w:sz="6" w:space="1"/>
        </w:pBdr>
        <w:spacing w:before="160" w:after="160"/>
      </w:pPr>
    </w:p>
    <w:p>
      <w:pPr>
        <w:pStyle w:val="Heading2"/>
        <w:spacing w:before="240" w:after="120"/>
      </w:pPr>
      <w:r>
        <w:rPr>
          <w:rFonts w:ascii="Arial" w:cs="Arial" w:eastAsia="Arial" w:hAnsi="Arial"/>
          <w:b/>
          <w:bCs/>
          <w:color w:val="2E74B5"/>
          <w:sz w:val="26"/>
          <w:szCs w:val="26"/>
        </w:rPr>
        <w:t xml:space="preserve">Why net gap is not enough</w:t>
      </w:r>
    </w:p>
    <w:p>
      <w:pPr>
        <w:spacing w:before="80" w:after="80"/>
      </w:pPr>
      <w:r>
        <w:rPr>
          <w:rFonts w:ascii="Arial" w:cs="Arial" w:eastAsia="Arial" w:hAnsi="Arial"/>
          <w:sz w:val="22"/>
          <w:szCs w:val="22"/>
        </w:rPr>
        <w:t xml:space="preserve">When most people think about headcount planning, they subtract current headcount from target headcount and call that the hiring need. This is wrong for two reasons.</w:t>
      </w:r>
    </w:p>
    <w:p>
      <w:pPr>
        <w:spacing w:before="80" w:after="80"/>
      </w:pPr>
      <w:r>
        <w:rPr>
          <w:rFonts w:ascii="Arial" w:cs="Arial" w:eastAsia="Arial" w:hAnsi="Arial"/>
          <w:sz w:val="22"/>
          <w:szCs w:val="22"/>
        </w:rPr>
        <w:t xml:space="preserve">First, some of your current employees will leave before the year ends. If your attrition rate is 15%, you need to hire 150 replacements just to maintain a 1,000-person workforce — before adding a single growth hire.</w:t>
      </w:r>
    </w:p>
    <w:p>
      <w:pPr>
        <w:spacing w:before="80" w:after="80"/>
      </w:pPr>
      <w:r>
        <w:rPr>
          <w:rFonts w:ascii="Arial" w:cs="Arial" w:eastAsia="Arial" w:hAnsi="Arial"/>
          <w:sz w:val="22"/>
          <w:szCs w:val="22"/>
        </w:rPr>
        <w:t xml:space="preserve">Second, internal mobility moves employees between departments. The department losing people needs to backfill those roles even though the organisation's total headcount has not changed.</w:t>
      </w:r>
    </w:p>
    <w:p>
      <w:pPr>
        <w:spacing w:before="80" w:after="80"/>
      </w:pPr>
      <w:r>
        <w:rPr>
          <w:rFonts w:ascii="Arial" w:cs="Arial" w:eastAsia="Arial" w:hAnsi="Arial"/>
          <w:sz w:val="22"/>
          <w:szCs w:val="22"/>
        </w:rPr>
        <w:t xml:space="preserve">Gross hiring need captures all three components together.</w:t>
      </w:r>
    </w:p>
    <w:p>
      <w:pPr>
        <w:pStyle w:val="Heading2"/>
        <w:spacing w:before="240" w:after="120"/>
      </w:pPr>
      <w:r>
        <w:rPr>
          <w:rFonts w:ascii="Arial" w:cs="Arial" w:eastAsia="Arial" w:hAnsi="Arial"/>
          <w:b/>
          <w:bCs/>
          <w:color w:val="2E74B5"/>
          <w:sz w:val="26"/>
          <w:szCs w:val="26"/>
        </w:rPr>
        <w:t xml:space="preserve">The formula</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it is calculated</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Net gap</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Target headcount minus current headcount</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Hires needed purely for growth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Attrition backfill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headcount multiplied by attrition rate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Replacements for employees who will leave</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Mobility loss</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Current headcount multiplied by internal mobility rate</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Replacements for employees moving to other departments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Gross hiring need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gap plus attrition backfill plus mobility loss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hires the TA team must deliver</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Hiring cost</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Gross hires multiplied by monthly salary multiplied by 3</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Estimated total recruitment investment</w:t>
            </w:r>
          </w:p>
        </w:tc>
      </w:tr>
    </w:tbl>
    <w:p>
      <w:pPr>
        <w:spacing w:before="120" w:after="120"/>
      </w:pPr>
    </w:p>
    <w:p>
      <w:pPr>
        <w:pStyle w:val="Heading2"/>
        <w:spacing w:before="240" w:after="120"/>
      </w:pPr>
      <w:r>
        <w:rPr>
          <w:rFonts w:ascii="Arial" w:cs="Arial" w:eastAsia="Arial" w:hAnsi="Arial"/>
          <w:b/>
          <w:bCs/>
          <w:color w:val="2E74B5"/>
          <w:sz w:val="26"/>
          <w:szCs w:val="26"/>
        </w:rPr>
        <w:t xml:space="preserve">Quarterly spread logic</w:t>
      </w:r>
    </w:p>
    <w:p>
      <w:pPr>
        <w:spacing w:before="80" w:after="80"/>
      </w:pPr>
      <w:r>
        <w:rPr>
          <w:rFonts w:ascii="Arial" w:cs="Arial" w:eastAsia="Arial" w:hAnsi="Arial"/>
          <w:sz w:val="22"/>
          <w:szCs w:val="22"/>
        </w:rPr>
        <w:t xml:space="preserve">Hiring was spread across four quarters using a realistic distribution based on how organisations typically budget and recruit through the year.</w:t>
      </w:r>
    </w:p>
    <w:p>
      <w:pPr>
        <w:pStyle w:val="ListParagraph"/>
        <w:numPr>
          <w:ilvl w:val="0"/>
          <w:numId w:val="2"/>
        </w:numPr>
        <w:spacing w:before="60" w:after="60"/>
      </w:pPr>
      <w:r>
        <w:rPr>
          <w:rFonts w:ascii="Arial" w:cs="Arial" w:eastAsia="Arial" w:hAnsi="Arial"/>
          <w:b/>
          <w:bCs/>
          <w:sz w:val="22"/>
          <w:szCs w:val="22"/>
        </w:rPr>
        <w:t xml:space="preserve">Q1 — 20% </w:t>
      </w:r>
      <w:r>
        <w:rPr>
          <w:rFonts w:ascii="Arial" w:cs="Arial" w:eastAsia="Arial" w:hAnsi="Arial"/>
          <w:sz w:val="22"/>
          <w:szCs w:val="22"/>
        </w:rPr>
        <w:t xml:space="preserve">Slow start. Planning, approvals, JD creation and sourcing ramp-up.</w:t>
      </w:r>
    </w:p>
    <w:p>
      <w:pPr>
        <w:pStyle w:val="ListParagraph"/>
        <w:numPr>
          <w:ilvl w:val="0"/>
          <w:numId w:val="2"/>
        </w:numPr>
        <w:spacing w:before="60" w:after="60"/>
      </w:pPr>
      <w:r>
        <w:rPr>
          <w:rFonts w:ascii="Arial" w:cs="Arial" w:eastAsia="Arial" w:hAnsi="Arial"/>
          <w:b/>
          <w:bCs/>
          <w:sz w:val="22"/>
          <w:szCs w:val="22"/>
        </w:rPr>
        <w:t xml:space="preserve">Q2 — 30% </w:t>
      </w:r>
      <w:r>
        <w:rPr>
          <w:rFonts w:ascii="Arial" w:cs="Arial" w:eastAsia="Arial" w:hAnsi="Arial"/>
          <w:sz w:val="22"/>
          <w:szCs w:val="22"/>
        </w:rPr>
        <w:t xml:space="preserve">Peak hiring begins. Pipelines active, offers going out.</w:t>
      </w:r>
    </w:p>
    <w:p>
      <w:pPr>
        <w:pStyle w:val="ListParagraph"/>
        <w:numPr>
          <w:ilvl w:val="0"/>
          <w:numId w:val="2"/>
        </w:numPr>
        <w:spacing w:before="60" w:after="60"/>
      </w:pPr>
      <w:r>
        <w:rPr>
          <w:rFonts w:ascii="Arial" w:cs="Arial" w:eastAsia="Arial" w:hAnsi="Arial"/>
          <w:b/>
          <w:bCs/>
          <w:sz w:val="22"/>
          <w:szCs w:val="22"/>
        </w:rPr>
        <w:t xml:space="preserve">Q3 — 30% </w:t>
      </w:r>
      <w:r>
        <w:rPr>
          <w:rFonts w:ascii="Arial" w:cs="Arial" w:eastAsia="Arial" w:hAnsi="Arial"/>
          <w:sz w:val="22"/>
          <w:szCs w:val="22"/>
        </w:rPr>
        <w:t xml:space="preserve">Continued peak. Bulk of hires land in this window.</w:t>
      </w:r>
    </w:p>
    <w:p>
      <w:pPr>
        <w:pStyle w:val="ListParagraph"/>
        <w:numPr>
          <w:ilvl w:val="0"/>
          <w:numId w:val="2"/>
        </w:numPr>
        <w:spacing w:before="60" w:after="60"/>
      </w:pPr>
      <w:r>
        <w:rPr>
          <w:rFonts w:ascii="Arial" w:cs="Arial" w:eastAsia="Arial" w:hAnsi="Arial"/>
          <w:b/>
          <w:bCs/>
          <w:sz w:val="22"/>
          <w:szCs w:val="22"/>
        </w:rPr>
        <w:t xml:space="preserve">Q4 — 20% </w:t>
      </w:r>
      <w:r>
        <w:rPr>
          <w:rFonts w:ascii="Arial" w:cs="Arial" w:eastAsia="Arial" w:hAnsi="Arial"/>
          <w:sz w:val="22"/>
          <w:szCs w:val="22"/>
        </w:rPr>
        <w:t xml:space="preserve">Slowdown. Budget freeze risk, reduced TA activity.</w:t>
      </w:r>
    </w:p>
    <w:p>
      <w:pPr>
        <w:pStyle w:val="Heading2"/>
        <w:spacing w:before="240" w:after="120"/>
      </w:pPr>
      <w:r>
        <w:rPr>
          <w:rFonts w:ascii="Arial" w:cs="Arial" w:eastAsia="Arial" w:hAnsi="Arial"/>
          <w:b/>
          <w:bCs/>
          <w:color w:val="2E74B5"/>
          <w:sz w:val="26"/>
          <w:szCs w:val="26"/>
        </w:rPr>
        <w:t xml:space="preserve">Urgency classification</w:t>
      </w:r>
    </w:p>
    <w:p>
      <w:pPr>
        <w:spacing w:before="80" w:after="80"/>
      </w:pPr>
      <w:r>
        <w:rPr>
          <w:rFonts w:ascii="Arial" w:cs="Arial" w:eastAsia="Arial" w:hAnsi="Arial"/>
          <w:sz w:val="22"/>
          <w:szCs w:val="22"/>
        </w:rPr>
        <w:t xml:space="preserve">Each department was flagged by hiring urgency based on average time to fill. This tells the TA team where to focus sourcing effort earliest in the year.</w:t>
      </w:r>
    </w:p>
    <w:p>
      <w:pPr>
        <w:pStyle w:val="ListParagraph"/>
        <w:numPr>
          <w:ilvl w:val="0"/>
          <w:numId w:val="2"/>
        </w:numPr>
        <w:spacing w:before="60" w:after="60"/>
      </w:pPr>
      <w:r>
        <w:rPr>
          <w:rFonts w:ascii="Arial" w:cs="Arial" w:eastAsia="Arial" w:hAnsi="Arial"/>
          <w:b/>
          <w:bCs/>
          <w:sz w:val="22"/>
          <w:szCs w:val="22"/>
        </w:rPr>
        <w:t xml:space="preserve">High urgency (50+ days): </w:t>
      </w:r>
      <w:r>
        <w:rPr>
          <w:rFonts w:ascii="Arial" w:cs="Arial" w:eastAsia="Arial" w:hAnsi="Arial"/>
          <w:sz w:val="22"/>
          <w:szCs w:val="22"/>
        </w:rPr>
        <w:t xml:space="preserve">IT and Legal — recruitment must begin in Q1 for Q2 roles to close on time.</w:t>
      </w:r>
    </w:p>
    <w:p>
      <w:pPr>
        <w:pStyle w:val="ListParagraph"/>
        <w:numPr>
          <w:ilvl w:val="0"/>
          <w:numId w:val="2"/>
        </w:numPr>
        <w:spacing w:before="60" w:after="60"/>
      </w:pPr>
      <w:r>
        <w:rPr>
          <w:rFonts w:ascii="Arial" w:cs="Arial" w:eastAsia="Arial" w:hAnsi="Arial"/>
          <w:b/>
          <w:bCs/>
          <w:sz w:val="22"/>
          <w:szCs w:val="22"/>
        </w:rPr>
        <w:t xml:space="preserve">Medium urgency (35-49 days): </w:t>
      </w:r>
      <w:r>
        <w:rPr>
          <w:rFonts w:ascii="Arial" w:cs="Arial" w:eastAsia="Arial" w:hAnsi="Arial"/>
          <w:sz w:val="22"/>
          <w:szCs w:val="22"/>
        </w:rPr>
        <w:t xml:space="preserve">Finance, HR and Operations — standard lead time, manageable with normal planning.</w:t>
      </w:r>
    </w:p>
    <w:p>
      <w:pPr>
        <w:pStyle w:val="ListParagraph"/>
        <w:numPr>
          <w:ilvl w:val="0"/>
          <w:numId w:val="2"/>
        </w:numPr>
        <w:spacing w:before="60" w:after="60"/>
      </w:pPr>
      <w:r>
        <w:rPr>
          <w:rFonts w:ascii="Arial" w:cs="Arial" w:eastAsia="Arial" w:hAnsi="Arial"/>
          <w:b/>
          <w:bCs/>
          <w:sz w:val="22"/>
          <w:szCs w:val="22"/>
        </w:rPr>
        <w:t xml:space="preserve">Standard urgency (under 35 days): </w:t>
      </w:r>
      <w:r>
        <w:rPr>
          <w:rFonts w:ascii="Arial" w:cs="Arial" w:eastAsia="Arial" w:hAnsi="Arial"/>
          <w:sz w:val="22"/>
          <w:szCs w:val="22"/>
        </w:rPr>
        <w:t xml:space="preserve">Sales — fastest to hire, most flexible in timing.</w:t>
      </w:r>
    </w:p>
    <w:p>
      <w:pPr>
        <w:spacing w:before="120" w:after="120"/>
      </w:pPr>
    </w:p>
    <w:p>
      <w:r>
        <w:br w:type="page"/>
      </w:r>
    </w:p>
    <w:p>
      <w:pPr>
        <w:pStyle w:val="Heading1"/>
        <w:spacing w:before="320" w:after="160"/>
      </w:pPr>
      <w:r>
        <w:rPr>
          <w:rFonts w:ascii="Arial" w:cs="Arial" w:eastAsia="Arial" w:hAnsi="Arial"/>
          <w:b/>
          <w:bCs/>
          <w:color w:val="1F4E79"/>
          <w:sz w:val="32"/>
          <w:szCs w:val="32"/>
        </w:rPr>
        <w:t xml:space="preserve">Section 3: Department-Level Analysis</w:t>
      </w:r>
    </w:p>
    <w:p>
      <w:pPr>
        <w:pBdr>
          <w:bottom w:val="single" w:color="2E75B6" w:sz="6" w:space="1"/>
        </w:pBdr>
        <w:spacing w:before="160" w:after="160"/>
      </w:pPr>
    </w:p>
    <w:p>
      <w:pPr>
        <w:pStyle w:val="Heading2"/>
        <w:spacing w:before="240" w:after="120"/>
      </w:pPr>
      <w:r>
        <w:rPr>
          <w:rFonts w:ascii="Arial" w:cs="Arial" w:eastAsia="Arial" w:hAnsi="Arial"/>
          <w:b/>
          <w:bCs/>
          <w:color w:val="2E74B5"/>
          <w:sz w:val="26"/>
          <w:szCs w:val="26"/>
        </w:rPr>
        <w:t xml:space="preserve">Hiring plan by department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900"/>
        <w:gridCol w:w="1600"/>
        <w:gridCol w:w="1300"/>
        <w:gridCol w:w="1200"/>
        <w:gridCol w:w="106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Department</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Net Gap</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Attrition Backfill</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Mobility Loss</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Gross Hires</w:t>
            </w:r>
          </w:p>
        </w:tc>
        <w:tc>
          <w:tcPr>
            <w:tcW w:type="dxa" w:w="1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Urgency</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Operations</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320</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380</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60</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45</w:t>
            </w:r>
          </w:p>
        </w:tc>
        <w:tc>
          <w:tcPr>
            <w:tcW w:type="dxa" w:w="1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115</w:t>
            </w:r>
          </w:p>
        </w:tc>
        <w:tc>
          <w:tcPr>
            <w:tcW w:type="dxa" w:w="1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Sales</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145</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175</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30</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26</w:t>
            </w:r>
          </w:p>
        </w:tc>
        <w:tc>
          <w:tcPr>
            <w:tcW w:type="dxa" w:w="1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62</w:t>
            </w:r>
          </w:p>
        </w:tc>
        <w:tc>
          <w:tcPr>
            <w:tcW w:type="dxa" w:w="1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Standard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HR</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85</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90</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8</w:t>
            </w:r>
          </w:p>
        </w:tc>
        <w:tc>
          <w:tcPr>
            <w:tcW w:type="dxa" w:w="1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17</w:t>
            </w:r>
          </w:p>
        </w:tc>
        <w:tc>
          <w:tcPr>
            <w:tcW w:type="dxa" w:w="1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Total</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1,000</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1,175</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175</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140</w:t>
            </w:r>
          </w:p>
        </w:tc>
        <w:tc>
          <w:tcPr>
            <w:tcW w:type="dxa" w:w="1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42</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357</w:t>
            </w:r>
          </w:p>
        </w:tc>
        <w:tc>
          <w:tcPr>
            <w:tcW w:type="dxa" w:w="1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
            </w:r>
          </w:p>
        </w:tc>
      </w:tr>
    </w:tbl>
    <w:p>
      <w:pPr>
        <w:spacing w:before="120" w:after="120"/>
      </w:pPr>
    </w:p>
    <w:p>
      <w:pPr>
        <w:pStyle w:val="Heading2"/>
        <w:spacing w:before="240" w:after="120"/>
      </w:pPr>
      <w:r>
        <w:rPr>
          <w:rFonts w:ascii="Arial" w:cs="Arial" w:eastAsia="Arial" w:hAnsi="Arial"/>
          <w:b/>
          <w:bCs/>
          <w:color w:val="2E74B5"/>
          <w:sz w:val="26"/>
          <w:szCs w:val="26"/>
        </w:rPr>
        <w:t xml:space="preserve">Key department narratives</w:t>
      </w:r>
    </w:p>
    <w:p>
      <w:pPr>
        <w:spacing w:before="200" w:after="100"/>
      </w:pPr>
      <w:r>
        <w:rPr>
          <w:rFonts w:ascii="Arial" w:cs="Arial" w:eastAsia="Arial" w:hAnsi="Arial"/>
          <w:b/>
          <w:bCs/>
          <w:color w:val="1F4E79"/>
          <w:sz w:val="24"/>
          <w:szCs w:val="24"/>
        </w:rPr>
        <w:t xml:space="preserve">Operations — highest volume, moderate complexity</w:t>
      </w:r>
    </w:p>
    <w:p>
      <w:pPr>
        <w:spacing w:before="80" w:after="80"/>
      </w:pPr>
      <w:r>
        <w:rPr>
          <w:rFonts w:ascii="Arial" w:cs="Arial" w:eastAsia="Arial" w:hAnsi="Arial"/>
          <w:sz w:val="22"/>
          <w:szCs w:val="22"/>
        </w:rPr>
        <w:t xml:space="preserve">Operations carries the largest hiring burden at 115 gross hires. The 60-hire growth gap is the biggest of any department. With a 14% attrition rate and 45-day fill time, this is a volume execution challenge rather than a complexity one. TA needs sufficient sourcing capacity dedicated here throughout the year.</w:t>
      </w:r>
    </w:p>
    <w:p>
      <w:pPr>
        <w:spacing w:before="200" w:after="100"/>
      </w:pPr>
      <w:r>
        <w:rPr>
          <w:rFonts w:ascii="Arial" w:cs="Arial" w:eastAsia="Arial" w:hAnsi="Arial"/>
          <w:b/>
          <w:bCs/>
          <w:color w:val="1F4E79"/>
          <w:sz w:val="24"/>
          <w:szCs w:val="24"/>
        </w:rPr>
        <w:t xml:space="preserve">IT — highest risk, needs earliest start</w:t>
      </w:r>
    </w:p>
    <w:p>
      <w:pPr>
        <w:spacing w:before="80" w:after="80"/>
      </w:pPr>
      <w:r>
        <w:rPr>
          <w:rFonts w:ascii="Arial" w:cs="Arial" w:eastAsia="Arial" w:hAnsi="Arial"/>
          <w:sz w:val="22"/>
          <w:szCs w:val="22"/>
        </w:rPr>
        <w:t xml:space="preserve">IT has 97 gross hires with the longest average time to fill at 55 days. This means Q2 roles need job descriptions posted and sourcing underway by the first week of Q1. Any delay here creates a cascade — unfilled IT roles in Q2 push into Q3, creating a backlog that is very hard to clear. IT is the department most likely to miss its headcount target if planning starts late.</w:t>
      </w:r>
    </w:p>
    <w:p>
      <w:pPr>
        <w:spacing w:before="200" w:after="100"/>
      </w:pPr>
      <w:r>
        <w:rPr>
          <w:rFonts w:ascii="Arial" w:cs="Arial" w:eastAsia="Arial" w:hAnsi="Arial"/>
          <w:b/>
          <w:bCs/>
          <w:color w:val="1F4E79"/>
          <w:sz w:val="24"/>
          <w:szCs w:val="24"/>
        </w:rPr>
        <w:t xml:space="preserve">Sales — most resilient, fastest to hire</w:t>
      </w:r>
    </w:p>
    <w:p>
      <w:pPr>
        <w:spacing w:before="80" w:after="80"/>
      </w:pPr>
      <w:r>
        <w:rPr>
          <w:rFonts w:ascii="Arial" w:cs="Arial" w:eastAsia="Arial" w:hAnsi="Arial"/>
          <w:sz w:val="22"/>
          <w:szCs w:val="22"/>
        </w:rPr>
        <w:t xml:space="preserve">Despite the highest attrition rate at 18%, Sales is the most manageable department from a planning perspective. With a 30-day fill time, Sales can absorb delays and still recover within the quarter. The 62 gross hires are significant but the TA team has the most flexibility here.</w:t>
      </w:r>
    </w:p>
    <w:p>
      <w:pPr>
        <w:spacing w:before="200" w:after="100"/>
      </w:pPr>
      <w:r>
        <w:rPr>
          <w:rFonts w:ascii="Arial" w:cs="Arial" w:eastAsia="Arial" w:hAnsi="Arial"/>
          <w:b/>
          <w:bCs/>
          <w:color w:val="1F4E79"/>
          <w:sz w:val="24"/>
          <w:szCs w:val="24"/>
        </w:rPr>
        <w:t xml:space="preserve">Finance — steady, predictable</w:t>
      </w:r>
    </w:p>
    <w:p>
      <w:pPr>
        <w:spacing w:before="80" w:after="80"/>
      </w:pPr>
      <w:r>
        <w:rPr>
          <w:rFonts w:ascii="Arial" w:cs="Arial" w:eastAsia="Arial" w:hAnsi="Arial"/>
          <w:sz w:val="22"/>
          <w:szCs w:val="22"/>
        </w:rPr>
        <w:t xml:space="preserve">Finance has a 12% attrition rate and 40-day fill time. With 49 gross hires spread evenly, this is the most straightforward department to plan. No urgency flags, no extreme volumes.</w:t>
      </w:r>
    </w:p>
    <w:p>
      <w:pPr>
        <w:spacing w:before="200" w:after="100"/>
      </w:pPr>
      <w:r>
        <w:rPr>
          <w:rFonts w:ascii="Arial" w:cs="Arial" w:eastAsia="Arial" w:hAnsi="Arial"/>
          <w:b/>
          <w:bCs/>
          <w:color w:val="1F4E79"/>
          <w:sz w:val="24"/>
          <w:szCs w:val="24"/>
        </w:rPr>
        <w:t xml:space="preserve">HR and Legal — small but high urgency</w:t>
      </w:r>
    </w:p>
    <w:p>
      <w:pPr>
        <w:spacing w:before="80" w:after="80"/>
      </w:pPr>
      <w:r>
        <w:rPr>
          <w:rFonts w:ascii="Arial" w:cs="Arial" w:eastAsia="Arial" w:hAnsi="Arial"/>
          <w:sz w:val="22"/>
          <w:szCs w:val="22"/>
        </w:rPr>
        <w:t xml:space="preserve">Both departments need only 17 gross hires each, but Legal carries a High urgency flag due to 50-day fill times. Legal roles are typically specialised and harder to source quickly. Despite the low volume, Legal hiring needs to start in Q1 to avoid Q2 gaps.</w:t>
      </w:r>
    </w:p>
    <w:p>
      <w:pPr>
        <w:spacing w:before="120" w:after="120"/>
      </w:pPr>
    </w:p>
    <w:p>
      <w:r>
        <w:br w:type="page"/>
      </w:r>
    </w:p>
    <w:p>
      <w:pPr>
        <w:pStyle w:val="Heading1"/>
        <w:spacing w:before="320" w:after="160"/>
      </w:pPr>
      <w:r>
        <w:rPr>
          <w:rFonts w:ascii="Arial" w:cs="Arial" w:eastAsia="Arial" w:hAnsi="Arial"/>
          <w:b/>
          <w:bCs/>
          <w:color w:val="1F4E79"/>
          <w:sz w:val="32"/>
          <w:szCs w:val="32"/>
        </w:rPr>
        <w:t xml:space="preserve">Section 4: Key Concepts Explained</w:t>
      </w:r>
    </w:p>
    <w:p>
      <w:pPr>
        <w:pBdr>
          <w:bottom w:val="single" w:color="2E75B6" w:sz="6" w:space="1"/>
        </w:pBdr>
        <w:spacing w:before="160" w:after="160"/>
      </w:pPr>
    </w:p>
    <w:p>
      <w:pPr>
        <w:pStyle w:val="Heading2"/>
        <w:spacing w:before="240" w:after="120"/>
      </w:pPr>
      <w:r>
        <w:rPr>
          <w:rFonts w:ascii="Arial" w:cs="Arial" w:eastAsia="Arial" w:hAnsi="Arial"/>
          <w:b/>
          <w:bCs/>
          <w:color w:val="2E74B5"/>
          <w:sz w:val="26"/>
          <w:szCs w:val="26"/>
        </w:rPr>
        <w:t xml:space="preserve">What is workforce planning?</w:t>
      </w:r>
    </w:p>
    <w:p>
      <w:pPr>
        <w:spacing w:before="80" w:after="80"/>
      </w:pPr>
      <w:r>
        <w:rPr>
          <w:rFonts w:ascii="Arial" w:cs="Arial" w:eastAsia="Arial" w:hAnsi="Arial"/>
          <w:sz w:val="22"/>
          <w:szCs w:val="22"/>
        </w:rPr>
        <w:t xml:space="preserve">Workforce planning is the process of ensuring an organisation has the right number of people, with the right skills, in the right roles, at the right time. It bridges HR strategy and business strategy by translating growth targets into concrete hiring, development and retention actions.</w:t>
      </w:r>
    </w:p>
    <w:p>
      <w:pPr>
        <w:spacing w:before="80" w:after="80"/>
      </w:pPr>
      <w:r>
        <w:rPr>
          <w:rFonts w:ascii="Arial" w:cs="Arial" w:eastAsia="Arial" w:hAnsi="Arial"/>
          <w:sz w:val="22"/>
          <w:szCs w:val="22"/>
        </w:rPr>
        <w:t xml:space="preserve">At its most basic level it answers three questions: how many people do we have, how many do we need, and how do we close the gap?</w:t>
      </w:r>
    </w:p>
    <w:p>
      <w:pPr>
        <w:pStyle w:val="Heading2"/>
        <w:spacing w:before="240" w:after="120"/>
      </w:pPr>
      <w:r>
        <w:rPr>
          <w:rFonts w:ascii="Arial" w:cs="Arial" w:eastAsia="Arial" w:hAnsi="Arial"/>
          <w:b/>
          <w:bCs/>
          <w:color w:val="2E74B5"/>
          <w:sz w:val="26"/>
          <w:szCs w:val="26"/>
        </w:rPr>
        <w:t xml:space="preserve">What is attrition and how do you calculate it?</w:t>
      </w:r>
    </w:p>
    <w:p>
      <w:pPr>
        <w:spacing w:before="80" w:after="80"/>
      </w:pPr>
      <w:r>
        <w:rPr>
          <w:rFonts w:ascii="Arial" w:cs="Arial" w:eastAsia="Arial" w:hAnsi="Arial"/>
          <w:sz w:val="22"/>
          <w:szCs w:val="22"/>
        </w:rPr>
        <w:t xml:space="preserve">Attrition is the rate at which employees leave an organisation. It is typically expressed as an annual percentage. The formula is: number of employees who left in the period divided by average headcount in the period, multiplied by 100.</w:t>
      </w:r>
    </w:p>
    <w:p>
      <w:pPr>
        <w:spacing w:before="80" w:after="80"/>
      </w:pPr>
      <w:r>
        <w:rPr>
          <w:rFonts w:ascii="Arial" w:cs="Arial" w:eastAsia="Arial" w:hAnsi="Arial"/>
          <w:sz w:val="22"/>
          <w:szCs w:val="22"/>
        </w:rPr>
        <w:t xml:space="preserve">In this project, attrition rates ranged from 8% in Legal to 18% in Sales, reflecting the real-world pattern where customer-facing and technical roles tend to have higher turnover than compliance or administrative functions.</w:t>
      </w:r>
    </w:p>
    <w:p>
      <w:pPr>
        <w:pStyle w:val="Heading2"/>
        <w:spacing w:before="240" w:after="120"/>
      </w:pPr>
      <w:r>
        <w:rPr>
          <w:rFonts w:ascii="Arial" w:cs="Arial" w:eastAsia="Arial" w:hAnsi="Arial"/>
          <w:b/>
          <w:bCs/>
          <w:color w:val="2E74B5"/>
          <w:sz w:val="26"/>
          <w:szCs w:val="26"/>
        </w:rPr>
        <w:t xml:space="preserve">What is internal mobility and why does it matter for headcount planning?</w:t>
      </w:r>
    </w:p>
    <w:p>
      <w:pPr>
        <w:spacing w:before="80" w:after="80"/>
      </w:pPr>
      <w:r>
        <w:rPr>
          <w:rFonts w:ascii="Arial" w:cs="Arial" w:eastAsia="Arial" w:hAnsi="Arial"/>
          <w:sz w:val="22"/>
          <w:szCs w:val="22"/>
        </w:rPr>
        <w:t xml:space="preserve">Internal mobility refers to employees moving between departments, roles or locations within the same organisation. While this is positive from a talent development perspective, it creates a headcount gap in the originating department that needs to be backfilled.</w:t>
      </w:r>
    </w:p>
    <w:p>
      <w:pPr>
        <w:spacing w:before="80" w:after="80"/>
      </w:pPr>
      <w:r>
        <w:rPr>
          <w:rFonts w:ascii="Arial" w:cs="Arial" w:eastAsia="Arial" w:hAnsi="Arial"/>
          <w:sz w:val="22"/>
          <w:szCs w:val="22"/>
        </w:rPr>
        <w:t xml:space="preserve">Most headcount plans ignore internal mobility entirely, leading to understaffed departments even when the organisation's total headcount is on track. Including mobility loss in the gross hiring calculation is a mark of planning maturity.</w:t>
      </w:r>
    </w:p>
    <w:p>
      <w:pPr>
        <w:pStyle w:val="Heading2"/>
        <w:spacing w:before="240" w:after="120"/>
      </w:pPr>
      <w:r>
        <w:rPr>
          <w:rFonts w:ascii="Arial" w:cs="Arial" w:eastAsia="Arial" w:hAnsi="Arial"/>
          <w:b/>
          <w:bCs/>
          <w:color w:val="2E74B5"/>
          <w:sz w:val="26"/>
          <w:szCs w:val="26"/>
        </w:rPr>
        <w:t xml:space="preserve">What is time to fill and why does it affect quarterly planning?</w:t>
      </w:r>
    </w:p>
    <w:p>
      <w:pPr>
        <w:spacing w:before="80" w:after="80"/>
      </w:pPr>
      <w:r>
        <w:rPr>
          <w:rFonts w:ascii="Arial" w:cs="Arial" w:eastAsia="Arial" w:hAnsi="Arial"/>
          <w:sz w:val="22"/>
          <w:szCs w:val="22"/>
        </w:rPr>
        <w:t xml:space="preserve">Time to fill is the number of days from a job requisition being opened to an offer being accepted. It directly affects when you need to start hiring to meet a quarterly headcount target.</w:t>
      </w:r>
    </w:p>
    <w:p>
      <w:pPr>
        <w:spacing w:before="80" w:after="80"/>
      </w:pPr>
      <w:r>
        <w:rPr>
          <w:rFonts w:ascii="Arial" w:cs="Arial" w:eastAsia="Arial" w:hAnsi="Arial"/>
          <w:sz w:val="22"/>
          <w:szCs w:val="22"/>
        </w:rPr>
        <w:t xml:space="preserve">For example, if IT has a 55-day fill time and you need 29 IT hires by the end of Q2 (June), you need to open those requisitions in early April at the latest — which means sourcing pipelines need to be ready by end of Q1. Ignoring time to fill when building a quarterly plan leads to headcount landing a full quarter late.</w:t>
      </w:r>
    </w:p>
    <w:p>
      <w:pPr>
        <w:pStyle w:val="Heading2"/>
        <w:spacing w:before="240" w:after="120"/>
      </w:pPr>
      <w:r>
        <w:rPr>
          <w:rFonts w:ascii="Arial" w:cs="Arial" w:eastAsia="Arial" w:hAnsi="Arial"/>
          <w:b/>
          <w:bCs/>
          <w:color w:val="2E74B5"/>
          <w:sz w:val="26"/>
          <w:szCs w:val="26"/>
        </w:rPr>
        <w:t xml:space="preserve">What is the difference between headcount plan and hiring plan?</w:t>
      </w:r>
    </w:p>
    <w:p>
      <w:pPr>
        <w:spacing w:before="80" w:after="80"/>
      </w:pPr>
      <w:r>
        <w:rPr>
          <w:rFonts w:ascii="Arial" w:cs="Arial" w:eastAsia="Arial" w:hAnsi="Arial"/>
          <w:sz w:val="22"/>
          <w:szCs w:val="22"/>
        </w:rPr>
        <w:t xml:space="preserve">A headcount plan describes the desired workforce state — how many people you want in each role or department at a future point in time. A hiring plan is the operational document that describes the actions needed to reach that state — how many hires, in which departments, in which quarters, at what cost.</w:t>
      </w:r>
    </w:p>
    <w:p>
      <w:pPr>
        <w:spacing w:before="80" w:after="80"/>
      </w:pPr>
      <w:r>
        <w:rPr>
          <w:rFonts w:ascii="Arial" w:cs="Arial" w:eastAsia="Arial" w:hAnsi="Arial"/>
          <w:sz w:val="22"/>
          <w:szCs w:val="22"/>
        </w:rPr>
        <w:t xml:space="preserve">This project builds both. The headcount plan is the target state table. The hiring plan is the quarterly breakdown with urgency flags and cost estimates.</w:t>
      </w:r>
    </w:p>
    <w:p>
      <w:pPr>
        <w:spacing w:before="120" w:after="120"/>
      </w:pPr>
    </w:p>
    <w:p>
      <w:r>
        <w:br w:type="page"/>
      </w:r>
    </w:p>
    <w:p>
      <w:pPr>
        <w:pStyle w:val="Heading1"/>
        <w:spacing w:before="320" w:after="160"/>
      </w:pPr>
      <w:r>
        <w:rPr>
          <w:rFonts w:ascii="Arial" w:cs="Arial" w:eastAsia="Arial" w:hAnsi="Arial"/>
          <w:b/>
          <w:bCs/>
          <w:color w:val="1F4E79"/>
          <w:sz w:val="32"/>
          <w:szCs w:val="32"/>
        </w:rPr>
        <w:t xml:space="preserve">Section 5: Questions &amp; Answers</w:t>
      </w:r>
    </w:p>
    <w:p>
      <w:pPr>
        <w:pBdr>
          <w:bottom w:val="single" w:color="2E75B6" w:sz="6" w:space="1"/>
        </w:pBdr>
        <w:spacing w:before="160" w:after="160"/>
      </w:pPr>
    </w:p>
    <w:p>
      <w:pPr>
        <w:spacing w:before="80" w:after="80"/>
      </w:pPr>
      <w:r>
        <w:rPr>
          <w:rFonts w:ascii="Arial" w:cs="Arial" w:eastAsia="Arial" w:hAnsi="Arial"/>
          <w:sz w:val="22"/>
          <w:szCs w:val="22"/>
        </w:rPr>
        <w:t xml:space="preserve">Use these to test and reinforce your understanding. Cover the answer and try explaining it in your own words first.</w:t>
      </w:r>
    </w:p>
    <w:p>
      <w:pPr>
        <w:spacing w:before="120" w:after="120"/>
      </w:pPr>
    </w:p>
    <w:p>
      <w:pPr>
        <w:pStyle w:val="Heading2"/>
        <w:spacing w:before="240" w:after="120"/>
      </w:pPr>
      <w:r>
        <w:rPr>
          <w:rFonts w:ascii="Arial" w:cs="Arial" w:eastAsia="Arial" w:hAnsi="Arial"/>
          <w:b/>
          <w:bCs/>
          <w:color w:val="2E74B5"/>
          <w:sz w:val="26"/>
          <w:szCs w:val="26"/>
        </w:rPr>
        <w:t xml:space="preserve">About the project</w:t>
      </w:r>
    </w:p>
    <w:p>
      <w:pPr>
        <w:spacing w:before="180" w:after="60"/>
      </w:pPr>
      <w:r>
        <w:rPr>
          <w:rFonts w:ascii="Arial" w:cs="Arial" w:eastAsia="Arial" w:hAnsi="Arial"/>
          <w:b/>
          <w:bCs/>
          <w:color w:val="1F4E79"/>
          <w:sz w:val="22"/>
          <w:szCs w:val="22"/>
        </w:rPr>
        <w:t xml:space="preserve">Q: Walk me through your headcount planning project.</w:t>
      </w:r>
    </w:p>
    <w:p>
      <w:pPr>
        <w:spacing w:before="60" w:after="120"/>
        <w:ind w:left="360"/>
      </w:pPr>
      <w:r>
        <w:rPr>
          <w:rFonts w:ascii="Arial" w:cs="Arial" w:eastAsia="Arial" w:hAnsi="Arial"/>
          <w:b/>
          <w:bCs/>
          <w:color w:val="2E74B5"/>
          <w:sz w:val="22"/>
          <w:szCs w:val="22"/>
        </w:rPr>
        <w:t xml:space="preserve">A: </w:t>
      </w:r>
      <w:r>
        <w:rPr>
          <w:rFonts w:ascii="Arial" w:cs="Arial" w:eastAsia="Arial" w:hAnsi="Arial"/>
          <w:sz w:val="22"/>
          <w:szCs w:val="22"/>
        </w:rPr>
        <w:t xml:space="preserve">I built a workforce planning model that calculates an organisation's true gross hiring requirement — not just the net growth gap. Starting with current headcount, target headcount, attrition rates and internal mobility rates for six departments, I calculated that the business needed to deliver 357 gross hires against a headline growth target of 175. I then spread those hires across quarters using a realistic 20-30-30-20 distribution, flagged departments by hiring urgency based on time to fill, and generated a fully costed quarterly hiring plan totalling 22.7 million AED. The output is the kind of document that would go to the CHRO and CFO together.</w:t>
      </w:r>
    </w:p>
    <w:p>
      <w:pPr>
        <w:spacing w:before="180" w:after="60"/>
      </w:pPr>
      <w:r>
        <w:rPr>
          <w:rFonts w:ascii="Arial" w:cs="Arial" w:eastAsia="Arial" w:hAnsi="Arial"/>
          <w:b/>
          <w:bCs/>
          <w:color w:val="1F4E79"/>
          <w:sz w:val="22"/>
          <w:szCs w:val="22"/>
        </w:rPr>
        <w:t xml:space="preserve">Q: Why is gross hiring need so much higher than the net gap?</w:t>
      </w:r>
    </w:p>
    <w:p>
      <w:pPr>
        <w:spacing w:before="60" w:after="120"/>
        <w:ind w:left="360"/>
      </w:pPr>
      <w:r>
        <w:rPr>
          <w:rFonts w:ascii="Arial" w:cs="Arial" w:eastAsia="Arial" w:hAnsi="Arial"/>
          <w:b/>
          <w:bCs/>
          <w:color w:val="2E74B5"/>
          <w:sz w:val="22"/>
          <w:szCs w:val="22"/>
        </w:rPr>
        <w:t xml:space="preserve">A: </w:t>
      </w:r>
      <w:r>
        <w:rPr>
          <w:rFonts w:ascii="Arial" w:cs="Arial" w:eastAsia="Arial" w:hAnsi="Arial"/>
          <w:sz w:val="22"/>
          <w:szCs w:val="22"/>
        </w:rPr>
        <w:t xml:space="preserve">Because the net gap only accounts for growth. It ignores the fact that 14 to 18 percent of your existing workforce will leave through attrition each year, and that a further 3 to 6 percent will move between departments. Both create vacancies that need to be filled even if the organisation is not growing at all. In this model, attrition backfill accounted for 140 hires and mobility loss accounted for 42 hires on top of the 175 growth hires. The net gap of 175 represents less than half the actual hiring workload.</w:t>
      </w:r>
    </w:p>
    <w:p>
      <w:pPr>
        <w:spacing w:before="180" w:after="60"/>
      </w:pPr>
      <w:r>
        <w:rPr>
          <w:rFonts w:ascii="Arial" w:cs="Arial" w:eastAsia="Arial" w:hAnsi="Arial"/>
          <w:b/>
          <w:bCs/>
          <w:color w:val="1F4E79"/>
          <w:sz w:val="22"/>
          <w:szCs w:val="22"/>
        </w:rPr>
        <w:t xml:space="preserve">Q: How did you decide on the quarterly hiring spread?</w:t>
      </w:r>
    </w:p>
    <w:p>
      <w:pPr>
        <w:spacing w:before="60" w:after="120"/>
        <w:ind w:left="360"/>
      </w:pPr>
      <w:r>
        <w:rPr>
          <w:rFonts w:ascii="Arial" w:cs="Arial" w:eastAsia="Arial" w:hAnsi="Arial"/>
          <w:b/>
          <w:bCs/>
          <w:color w:val="2E74B5"/>
          <w:sz w:val="22"/>
          <w:szCs w:val="22"/>
        </w:rPr>
        <w:t xml:space="preserve">A: </w:t>
      </w:r>
      <w:r>
        <w:rPr>
          <w:rFonts w:ascii="Arial" w:cs="Arial" w:eastAsia="Arial" w:hAnsi="Arial"/>
          <w:sz w:val="22"/>
          <w:szCs w:val="22"/>
        </w:rPr>
        <w:t xml:space="preserve">I used a 20-30-30-20 distribution based on real organisational hiring patterns. Q1 is typically slow because headcount approvals, job description creation and sourcing setup take time. Q2 and Q3 are peak hiring quarters when pipelines are active and most offers land. Q4 sees reduced activity due to budget freeze risk and reduced candidate availability. This spread can be adjusted based on the organisation's specific budget cycle and TA capacity.</w:t>
      </w:r>
    </w:p>
    <w:p>
      <w:pPr>
        <w:spacing w:before="180" w:after="60"/>
      </w:pPr>
      <w:r>
        <w:rPr>
          <w:rFonts w:ascii="Arial" w:cs="Arial" w:eastAsia="Arial" w:hAnsi="Arial"/>
          <w:b/>
          <w:bCs/>
          <w:color w:val="1F4E79"/>
          <w:sz w:val="22"/>
          <w:szCs w:val="22"/>
        </w:rPr>
        <w:t xml:space="preserve">Q: What would you do differently with real data?</w:t>
      </w:r>
    </w:p>
    <w:p>
      <w:pPr>
        <w:spacing w:before="60" w:after="120"/>
        <w:ind w:left="360"/>
      </w:pPr>
      <w:r>
        <w:rPr>
          <w:rFonts w:ascii="Arial" w:cs="Arial" w:eastAsia="Arial" w:hAnsi="Arial"/>
          <w:b/>
          <w:bCs/>
          <w:color w:val="2E74B5"/>
          <w:sz w:val="22"/>
          <w:szCs w:val="22"/>
        </w:rPr>
        <w:t xml:space="preserve">A: </w:t>
      </w:r>
      <w:r>
        <w:rPr>
          <w:rFonts w:ascii="Arial" w:cs="Arial" w:eastAsia="Arial" w:hAnsi="Arial"/>
          <w:sz w:val="22"/>
          <w:szCs w:val="22"/>
        </w:rPr>
        <w:t xml:space="preserve">With real data I would use historical attrition rates by department and seniority band rather than single estimates, incorporate actual time to fill data from the ATS, factor in offer acceptance rates and fall-off rates, and model scenarios such as what happens if Sales attrition increases to 22% or if IT fill time extends to 70 days. I would also connect the model to the compensation budget to flag where salary bands need to be reviewed to remain competitive enough to hire.</w:t>
      </w:r>
    </w:p>
    <w:p>
      <w:pPr>
        <w:pStyle w:val="Heading2"/>
        <w:spacing w:before="240" w:after="120"/>
      </w:pPr>
      <w:r>
        <w:rPr>
          <w:rFonts w:ascii="Arial" w:cs="Arial" w:eastAsia="Arial" w:hAnsi="Arial"/>
          <w:b/>
          <w:bCs/>
          <w:color w:val="2E74B5"/>
          <w:sz w:val="26"/>
          <w:szCs w:val="26"/>
        </w:rPr>
        <w:t xml:space="preserve">About workforce planning concepts</w:t>
      </w:r>
    </w:p>
    <w:p>
      <w:pPr>
        <w:spacing w:before="180" w:after="60"/>
      </w:pPr>
      <w:r>
        <w:rPr>
          <w:rFonts w:ascii="Arial" w:cs="Arial" w:eastAsia="Arial" w:hAnsi="Arial"/>
          <w:b/>
          <w:bCs/>
          <w:color w:val="1F4E79"/>
          <w:sz w:val="22"/>
          <w:szCs w:val="22"/>
        </w:rPr>
        <w:t xml:space="preserve">Q: How do you present a headcount plan to a CFO?</w:t>
      </w:r>
    </w:p>
    <w:p>
      <w:pPr>
        <w:spacing w:before="60" w:after="120"/>
        <w:ind w:left="360"/>
      </w:pPr>
      <w:r>
        <w:rPr>
          <w:rFonts w:ascii="Arial" w:cs="Arial" w:eastAsia="Arial" w:hAnsi="Arial"/>
          <w:b/>
          <w:bCs/>
          <w:color w:val="2E74B5"/>
          <w:sz w:val="22"/>
          <w:szCs w:val="22"/>
        </w:rPr>
        <w:t xml:space="preserve">A: </w:t>
      </w:r>
      <w:r>
        <w:rPr>
          <w:rFonts w:ascii="Arial" w:cs="Arial" w:eastAsia="Arial" w:hAnsi="Arial"/>
          <w:sz w:val="22"/>
          <w:szCs w:val="22"/>
        </w:rPr>
        <w:t xml:space="preserve">I lead with the business outcome, not the HR process. I would say: to hit our growth targets this year, we need to make 357 hires at an estimated investment of 22.7 million AED. Of that, 175 hires are for net new growth and 182 are to maintain our existing capabilities through attrition and internal movement. The peak cost lands in Q2 and Q3 at 6.8 million AED each quarter. I then show the department breakdown and flag IT and Legal as highest execution risk due to long fill times. That framing connects workforce planning directly to financial planning.</w:t>
      </w:r>
    </w:p>
    <w:p>
      <w:pPr>
        <w:spacing w:before="180" w:after="60"/>
      </w:pPr>
      <w:r>
        <w:rPr>
          <w:rFonts w:ascii="Arial" w:cs="Arial" w:eastAsia="Arial" w:hAnsi="Arial"/>
          <w:b/>
          <w:bCs/>
          <w:color w:val="1F4E79"/>
          <w:sz w:val="22"/>
          <w:szCs w:val="22"/>
        </w:rPr>
        <w:t xml:space="preserve">Q: What is the difference between strategic workforce planning and operational headcount planning?</w:t>
      </w:r>
    </w:p>
    <w:p>
      <w:pPr>
        <w:spacing w:before="60" w:after="120"/>
        <w:ind w:left="360"/>
      </w:pPr>
      <w:r>
        <w:rPr>
          <w:rFonts w:ascii="Arial" w:cs="Arial" w:eastAsia="Arial" w:hAnsi="Arial"/>
          <w:b/>
          <w:bCs/>
          <w:color w:val="2E74B5"/>
          <w:sz w:val="22"/>
          <w:szCs w:val="22"/>
        </w:rPr>
        <w:t xml:space="preserve">A: </w:t>
      </w:r>
      <w:r>
        <w:rPr>
          <w:rFonts w:ascii="Arial" w:cs="Arial" w:eastAsia="Arial" w:hAnsi="Arial"/>
          <w:sz w:val="22"/>
          <w:szCs w:val="22"/>
        </w:rPr>
        <w:t xml:space="preserve">Strategic workforce planning looks 2 to 5 years ahead and asks whether the organisation has the right capabilities for where the business is going. It involves skills gap analysis, build versus buy decisions, succession planning and organisational design. Operational headcount planning is shorter term — typically annual or quarterly — and focuses on translating approved headcount budgets into a hiring execution plan. This project is an example of operational planning. Strategic planning would involve a layer above this that asks whether the skills mix across those 357 hires is right for the business strategy.</w:t>
      </w:r>
    </w:p>
    <w:p>
      <w:pPr>
        <w:spacing w:before="180" w:after="60"/>
      </w:pPr>
      <w:r>
        <w:rPr>
          <w:rFonts w:ascii="Arial" w:cs="Arial" w:eastAsia="Arial" w:hAnsi="Arial"/>
          <w:b/>
          <w:bCs/>
          <w:color w:val="1F4E79"/>
          <w:sz w:val="22"/>
          <w:szCs w:val="22"/>
        </w:rPr>
        <w:t xml:space="preserve">Q: How do you handle a situation where the hiring plan is not being executed on time?</w:t>
      </w:r>
    </w:p>
    <w:p>
      <w:pPr>
        <w:spacing w:before="60" w:after="120"/>
        <w:ind w:left="360"/>
      </w:pPr>
      <w:r>
        <w:rPr>
          <w:rFonts w:ascii="Arial" w:cs="Arial" w:eastAsia="Arial" w:hAnsi="Arial"/>
          <w:b/>
          <w:bCs/>
          <w:color w:val="2E74B5"/>
          <w:sz w:val="22"/>
          <w:szCs w:val="22"/>
        </w:rPr>
        <w:t xml:space="preserve">A: </w:t>
      </w:r>
      <w:r>
        <w:rPr>
          <w:rFonts w:ascii="Arial" w:cs="Arial" w:eastAsia="Arial" w:hAnsi="Arial"/>
          <w:sz w:val="22"/>
          <w:szCs w:val="22"/>
        </w:rPr>
        <w:t xml:space="preserve">I would first identify where the bottleneck is. Is it slow requisition approval, insufficient sourcing pipeline, poor offer conversion, or hiring manager capacity? Each needs a different intervention. I would build a simple tracking dashboard showing planned hires versus actual hires by department and quarter, with a forecast of year-end position if current run rates continue. I would present this to the CHRO monthly and escalate to business leaders in departments where execution risk is high. The goal is to surface the problem early enough to course correct rather than reporting a miss at year end.</w:t>
      </w:r>
    </w:p>
    <w:p>
      <w:pPr>
        <w:pStyle w:val="Heading2"/>
        <w:spacing w:before="240" w:after="120"/>
      </w:pPr>
      <w:r>
        <w:rPr>
          <w:rFonts w:ascii="Arial" w:cs="Arial" w:eastAsia="Arial" w:hAnsi="Arial"/>
          <w:b/>
          <w:bCs/>
          <w:color w:val="2E74B5"/>
          <w:sz w:val="26"/>
          <w:szCs w:val="26"/>
        </w:rPr>
        <w:t xml:space="preserve">About your technical approach</w:t>
      </w:r>
    </w:p>
    <w:p>
      <w:pPr>
        <w:spacing w:before="180" w:after="60"/>
      </w:pPr>
      <w:r>
        <w:rPr>
          <w:rFonts w:ascii="Arial" w:cs="Arial" w:eastAsia="Arial" w:hAnsi="Arial"/>
          <w:b/>
          <w:bCs/>
          <w:color w:val="1F4E79"/>
          <w:sz w:val="22"/>
          <w:szCs w:val="22"/>
        </w:rPr>
        <w:t xml:space="preserve">Q: Could you build this in SQL instead of Python?</w:t>
      </w:r>
    </w:p>
    <w:p>
      <w:pPr>
        <w:spacing w:before="60" w:after="120"/>
        <w:ind w:left="360"/>
      </w:pPr>
      <w:r>
        <w:rPr>
          <w:rFonts w:ascii="Arial" w:cs="Arial" w:eastAsia="Arial" w:hAnsi="Arial"/>
          <w:b/>
          <w:bCs/>
          <w:color w:val="2E74B5"/>
          <w:sz w:val="22"/>
          <w:szCs w:val="22"/>
        </w:rPr>
        <w:t xml:space="preserve">A: </w:t>
      </w:r>
      <w:r>
        <w:rPr>
          <w:rFonts w:ascii="Arial" w:cs="Arial" w:eastAsia="Arial" w:hAnsi="Arial"/>
          <w:sz w:val="22"/>
          <w:szCs w:val="22"/>
        </w:rPr>
        <w:t xml:space="preserve">Yes — and in many organisations this type of model lives entirely in SQL because the source data is in an HRIS database. The core calculations are all aggregations and arithmetic operations that SQL handles well. I would use window functions for cumulative hire tracking and CTEs to keep the planning logic readable. Python adds value here for the visualisation layer and for scenario modelling where you want to quickly iterate on assumptions like attrition rate changes or different quarterly spreads.</w:t>
      </w:r>
    </w:p>
    <w:p>
      <w:pPr>
        <w:spacing w:before="180" w:after="60"/>
      </w:pPr>
      <w:r>
        <w:rPr>
          <w:rFonts w:ascii="Arial" w:cs="Arial" w:eastAsia="Arial" w:hAnsi="Arial"/>
          <w:b/>
          <w:bCs/>
          <w:color w:val="1F4E79"/>
          <w:sz w:val="22"/>
          <w:szCs w:val="22"/>
        </w:rPr>
        <w:t xml:space="preserve">Q: How would you connect this model to Power BI?</w:t>
      </w:r>
    </w:p>
    <w:p>
      <w:pPr>
        <w:spacing w:before="60" w:after="120"/>
        <w:ind w:left="360"/>
      </w:pPr>
      <w:r>
        <w:rPr>
          <w:rFonts w:ascii="Arial" w:cs="Arial" w:eastAsia="Arial" w:hAnsi="Arial"/>
          <w:b/>
          <w:bCs/>
          <w:color w:val="2E74B5"/>
          <w:sz w:val="22"/>
          <w:szCs w:val="22"/>
        </w:rPr>
        <w:t xml:space="preserve">A: </w:t>
      </w:r>
      <w:r>
        <w:rPr>
          <w:rFonts w:ascii="Arial" w:cs="Arial" w:eastAsia="Arial" w:hAnsi="Arial"/>
          <w:sz w:val="22"/>
          <w:szCs w:val="22"/>
        </w:rPr>
        <w:t xml:space="preserve">The CSV output from this model — the quarterly hiring plan — can be loaded directly into Power BI as a data source. From there I would build a dashboard with slicers for department and quarter, visuals for gross hires versus actuals as the year progresses, a cost tracker against budget, and a risk indicator for departments where time to fill suggests Q2 roles are at risk of landing late. The Python model generates the plan; Power BI makes it live and interactive for business stakeholders.</w:t>
      </w:r>
    </w:p>
    <w:p>
      <w:pPr>
        <w:spacing w:before="120" w:after="120"/>
      </w:pPr>
    </w:p>
    <w:p>
      <w:r>
        <w:br w:type="page"/>
      </w:r>
    </w:p>
    <w:p>
      <w:pPr>
        <w:pStyle w:val="Heading1"/>
        <w:spacing w:before="320" w:after="160"/>
      </w:pPr>
      <w:r>
        <w:rPr>
          <w:rFonts w:ascii="Arial" w:cs="Arial" w:eastAsia="Arial" w:hAnsi="Arial"/>
          <w:b/>
          <w:bCs/>
          <w:color w:val="1F4E79"/>
          <w:sz w:val="32"/>
          <w:szCs w:val="32"/>
        </w:rPr>
        <w:t xml:space="preserve">Section 6: Project Files Reference</w:t>
      </w:r>
    </w:p>
    <w:p>
      <w:pPr>
        <w:pBdr>
          <w:bottom w:val="single" w:color="2E75B6" w:sz="6" w:space="1"/>
        </w:pBdr>
        <w:spacing w:before="160" w:after="160"/>
      </w:pPr>
    </w:p>
    <w:p>
      <w:pPr>
        <w:spacing w:before="80" w:after="80"/>
      </w:pPr>
      <w:r>
        <w:rPr>
          <w:rFonts w:ascii="Arial" w:cs="Arial" w:eastAsia="Arial" w:hAnsi="Arial"/>
          <w:sz w:val="22"/>
          <w:szCs w:val="22"/>
        </w:rPr>
        <w:t xml:space="preserve">These are the files generated by this project. All are uploaded to your GitHub repository at:</w:t>
      </w:r>
    </w:p>
    <w:p>
      <w:pPr>
        <w:spacing w:before="80" w:after="80"/>
      </w:pPr>
      <w:r>
        <w:rPr>
          <w:rFonts w:ascii="Arial" w:cs="Arial" w:eastAsia="Arial" w:hAnsi="Arial"/>
          <w:sz w:val="22"/>
          <w:szCs w:val="22"/>
        </w:rPr>
        <w:t xml:space="preserve">github.com/aabhinavindian-cell/hr-headcount-planner</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Where it goes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02_headcount_planner.ipynb</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Full Jupyter notebook with all 6 blocks of code</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Root of repository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headcount_plan_dashboard.png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4-chart dashboard: gross hiring need, breakdown by type, quarterly volume vs cost, current vs target headcount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of repository</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headcount_hiring_plan.csv</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Full quarterly hiring plan with cumulative hires and urgency flags for all departments</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Root of repository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README.md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description written for a non-technical audience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of repository</w:t>
            </w:r>
          </w:p>
        </w:tc>
      </w:tr>
    </w:tbl>
    <w:p>
      <w:pPr>
        <w:spacing w:before="120" w:after="120"/>
      </w:pPr>
    </w:p>
    <w:p>
      <w:pPr>
        <w:pStyle w:val="Heading2"/>
        <w:spacing w:before="240" w:after="120"/>
      </w:pPr>
      <w:r>
        <w:rPr>
          <w:rFonts w:ascii="Arial" w:cs="Arial" w:eastAsia="Arial" w:hAnsi="Arial"/>
          <w:b/>
          <w:bCs/>
          <w:color w:val="2E74B5"/>
          <w:sz w:val="26"/>
          <w:szCs w:val="26"/>
        </w:rPr>
        <w:t xml:space="preserve">Key numbers to know by heart</w:t>
      </w:r>
    </w:p>
    <w:p>
      <w:pPr>
        <w:pStyle w:val="ListParagraph"/>
        <w:numPr>
          <w:ilvl w:val="0"/>
          <w:numId w:val="2"/>
        </w:numPr>
        <w:spacing w:before="60" w:after="60"/>
      </w:pPr>
      <w:r>
        <w:rPr>
          <w:rFonts w:ascii="Arial" w:cs="Arial" w:eastAsia="Arial" w:hAnsi="Arial"/>
          <w:b/>
          <w:bCs/>
          <w:sz w:val="22"/>
          <w:szCs w:val="22"/>
        </w:rPr>
        <w:t xml:space="preserve">1,000 </w:t>
      </w:r>
      <w:r>
        <w:rPr>
          <w:rFonts w:ascii="Arial" w:cs="Arial" w:eastAsia="Arial" w:hAnsi="Arial"/>
          <w:sz w:val="22"/>
          <w:szCs w:val="22"/>
        </w:rPr>
        <w:t xml:space="preserve">current employees across 6 departments</w:t>
      </w:r>
    </w:p>
    <w:p>
      <w:pPr>
        <w:pStyle w:val="ListParagraph"/>
        <w:numPr>
          <w:ilvl w:val="0"/>
          <w:numId w:val="2"/>
        </w:numPr>
        <w:spacing w:before="60" w:after="60"/>
      </w:pPr>
      <w:r>
        <w:rPr>
          <w:rFonts w:ascii="Arial" w:cs="Arial" w:eastAsia="Arial" w:hAnsi="Arial"/>
          <w:b/>
          <w:bCs/>
          <w:sz w:val="22"/>
          <w:szCs w:val="22"/>
        </w:rPr>
        <w:t xml:space="preserve">1,175 </w:t>
      </w:r>
      <w:r>
        <w:rPr>
          <w:rFonts w:ascii="Arial" w:cs="Arial" w:eastAsia="Arial" w:hAnsi="Arial"/>
          <w:sz w:val="22"/>
          <w:szCs w:val="22"/>
        </w:rPr>
        <w:t xml:space="preserve">target headcount — 17.5% growth</w:t>
      </w:r>
    </w:p>
    <w:p>
      <w:pPr>
        <w:pStyle w:val="ListParagraph"/>
        <w:numPr>
          <w:ilvl w:val="0"/>
          <w:numId w:val="2"/>
        </w:numPr>
        <w:spacing w:before="60" w:after="60"/>
      </w:pPr>
      <w:r>
        <w:rPr>
          <w:rFonts w:ascii="Arial" w:cs="Arial" w:eastAsia="Arial" w:hAnsi="Arial"/>
          <w:b/>
          <w:bCs/>
          <w:sz w:val="22"/>
          <w:szCs w:val="22"/>
        </w:rPr>
        <w:t xml:space="preserve">175 </w:t>
      </w:r>
      <w:r>
        <w:rPr>
          <w:rFonts w:ascii="Arial" w:cs="Arial" w:eastAsia="Arial" w:hAnsi="Arial"/>
          <w:sz w:val="22"/>
          <w:szCs w:val="22"/>
        </w:rPr>
        <w:t xml:space="preserve">net gap (what the business thinks HR needs to hire)</w:t>
      </w:r>
    </w:p>
    <w:p>
      <w:pPr>
        <w:pStyle w:val="ListParagraph"/>
        <w:numPr>
          <w:ilvl w:val="0"/>
          <w:numId w:val="2"/>
        </w:numPr>
        <w:spacing w:before="60" w:after="60"/>
      </w:pPr>
      <w:r>
        <w:rPr>
          <w:rFonts w:ascii="Arial" w:cs="Arial" w:eastAsia="Arial" w:hAnsi="Arial"/>
          <w:b/>
          <w:bCs/>
          <w:sz w:val="22"/>
          <w:szCs w:val="22"/>
        </w:rPr>
        <w:t xml:space="preserve">357 </w:t>
      </w:r>
      <w:r>
        <w:rPr>
          <w:rFonts w:ascii="Arial" w:cs="Arial" w:eastAsia="Arial" w:hAnsi="Arial"/>
          <w:sz w:val="22"/>
          <w:szCs w:val="22"/>
        </w:rPr>
        <w:t xml:space="preserve">gross hiring need (what HR actually needs to deliver)</w:t>
      </w:r>
    </w:p>
    <w:p>
      <w:pPr>
        <w:pStyle w:val="ListParagraph"/>
        <w:numPr>
          <w:ilvl w:val="0"/>
          <w:numId w:val="2"/>
        </w:numPr>
        <w:spacing w:before="60" w:after="60"/>
      </w:pPr>
      <w:r>
        <w:rPr>
          <w:rFonts w:ascii="Arial" w:cs="Arial" w:eastAsia="Arial" w:hAnsi="Arial"/>
          <w:b/>
          <w:bCs/>
          <w:sz w:val="22"/>
          <w:szCs w:val="22"/>
        </w:rPr>
        <w:t xml:space="preserve">140 </w:t>
      </w:r>
      <w:r>
        <w:rPr>
          <w:rFonts w:ascii="Arial" w:cs="Arial" w:eastAsia="Arial" w:hAnsi="Arial"/>
          <w:sz w:val="22"/>
          <w:szCs w:val="22"/>
        </w:rPr>
        <w:t xml:space="preserve">attrition backfill hires</w:t>
      </w:r>
    </w:p>
    <w:p>
      <w:pPr>
        <w:pStyle w:val="ListParagraph"/>
        <w:numPr>
          <w:ilvl w:val="0"/>
          <w:numId w:val="2"/>
        </w:numPr>
        <w:spacing w:before="60" w:after="60"/>
      </w:pPr>
      <w:r>
        <w:rPr>
          <w:rFonts w:ascii="Arial" w:cs="Arial" w:eastAsia="Arial" w:hAnsi="Arial"/>
          <w:b/>
          <w:bCs/>
          <w:sz w:val="22"/>
          <w:szCs w:val="22"/>
        </w:rPr>
        <w:t xml:space="preserve">42 </w:t>
      </w:r>
      <w:r>
        <w:rPr>
          <w:rFonts w:ascii="Arial" w:cs="Arial" w:eastAsia="Arial" w:hAnsi="Arial"/>
          <w:sz w:val="22"/>
          <w:szCs w:val="22"/>
        </w:rPr>
        <w:t xml:space="preserve">internal mobility backfill hires</w:t>
      </w:r>
    </w:p>
    <w:p>
      <w:pPr>
        <w:pStyle w:val="ListParagraph"/>
        <w:numPr>
          <w:ilvl w:val="0"/>
          <w:numId w:val="2"/>
        </w:numPr>
        <w:spacing w:before="60" w:after="60"/>
      </w:pPr>
      <w:r>
        <w:rPr>
          <w:rFonts w:ascii="Arial" w:cs="Arial" w:eastAsia="Arial" w:hAnsi="Arial"/>
          <w:b/>
          <w:bCs/>
          <w:sz w:val="22"/>
          <w:szCs w:val="22"/>
        </w:rPr>
        <w:t xml:space="preserve">107 </w:t>
      </w:r>
      <w:r>
        <w:rPr>
          <w:rFonts w:ascii="Arial" w:cs="Arial" w:eastAsia="Arial" w:hAnsi="Arial"/>
          <w:sz w:val="22"/>
          <w:szCs w:val="22"/>
        </w:rPr>
        <w:t xml:space="preserve">hires in each of Q2 and Q3 — peak quarters</w:t>
      </w:r>
    </w:p>
    <w:p>
      <w:pPr>
        <w:pStyle w:val="ListParagraph"/>
        <w:numPr>
          <w:ilvl w:val="0"/>
          <w:numId w:val="2"/>
        </w:numPr>
        <w:spacing w:before="60" w:after="60"/>
      </w:pPr>
      <w:r>
        <w:rPr>
          <w:rFonts w:ascii="Arial" w:cs="Arial" w:eastAsia="Arial" w:hAnsi="Arial"/>
          <w:b/>
          <w:bCs/>
          <w:sz w:val="22"/>
          <w:szCs w:val="22"/>
        </w:rPr>
        <w:t xml:space="preserve">55 days </w:t>
      </w:r>
      <w:r>
        <w:rPr>
          <w:rFonts w:ascii="Arial" w:cs="Arial" w:eastAsia="Arial" w:hAnsi="Arial"/>
          <w:sz w:val="22"/>
          <w:szCs w:val="22"/>
        </w:rPr>
        <w:t xml:space="preserve">IT average time to fill — highest urgency flag</w:t>
      </w:r>
    </w:p>
    <w:p>
      <w:pPr>
        <w:pStyle w:val="ListParagraph"/>
        <w:numPr>
          <w:ilvl w:val="0"/>
          <w:numId w:val="2"/>
        </w:numPr>
        <w:spacing w:before="60" w:after="60"/>
      </w:pPr>
      <w:r>
        <w:rPr>
          <w:rFonts w:ascii="Arial" w:cs="Arial" w:eastAsia="Arial" w:hAnsi="Arial"/>
          <w:b/>
          <w:bCs/>
          <w:sz w:val="22"/>
          <w:szCs w:val="22"/>
        </w:rPr>
        <w:t xml:space="preserve">22,683,000 AED </w:t>
      </w:r>
      <w:r>
        <w:rPr>
          <w:rFonts w:ascii="Arial" w:cs="Arial" w:eastAsia="Arial" w:hAnsi="Arial"/>
          <w:sz w:val="22"/>
          <w:szCs w:val="22"/>
        </w:rPr>
        <w:t xml:space="preserve">total annual hiring investment</w:t>
      </w:r>
    </w:p>
    <w:p>
      <w:pPr>
        <w:pBdr>
          <w:bottom w:val="single" w:color="2E75B6" w:sz="6" w:space="1"/>
        </w:pBdr>
        <w:spacing w:before="160" w:after="160"/>
      </w:pPr>
    </w:p>
    <w:p>
      <w:pPr>
        <w:spacing w:before="120" w:after="80"/>
        <w:jc w:val="center"/>
      </w:pPr>
      <w:r>
        <w:rPr>
          <w:rFonts w:ascii="Arial" w:cs="Arial" w:eastAsia="Arial" w:hAnsi="Arial"/>
          <w:i/>
          <w:iCs/>
          <w:color w:val="595959"/>
          <w:sz w:val="18"/>
          <w:szCs w:val="18"/>
        </w:rPr>
        <w:t xml:space="preserve">Built with Python  |  pandas  |  numpy  |  matplotlib  |  seaborn</w:t>
      </w:r>
    </w:p>
    <w:p>
      <w:pPr>
        <w:spacing w:before="40" w:after="80"/>
        <w:jc w:val="center"/>
      </w:pPr>
      <w:r>
        <w:rPr>
          <w:rFonts w:ascii="Arial" w:cs="Arial" w:eastAsia="Arial" w:hAnsi="Arial"/>
          <w:i/>
          <w:iCs/>
          <w:color w:val="2E74B5"/>
          <w:sz w:val="18"/>
          <w:szCs w:val="18"/>
        </w:rPr>
        <w:t xml:space="preserve">github.com/aabhinavindian-cell  |  HR Analytics &amp; Insights Portfolio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2026-03-20T19:20:42.162Z</dcterms:created>
  <dcterms:modified xsi:type="dcterms:W3CDTF">2026-03-20T19:20:42.163Z</dcterms:modified>
</cp:coreProperties>
</file>

<file path=docProps/custom.xml><?xml version="1.0" encoding="utf-8"?>
<Properties xmlns="http://schemas.openxmlformats.org/officeDocument/2006/custom-properties" xmlns:vt="http://schemas.openxmlformats.org/officeDocument/2006/docPropsVTypes"/>
</file>