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1 Project Strategy Report</w:t>
      </w:r>
    </w:p>
    <w:p>
      <w:pPr>
        <w:jc w:val="center"/>
      </w:pPr>
      <w:r>
        <w:rPr>
          <w:b/>
          <w:sz w:val="28"/>
        </w:rPr>
        <w:t>Agricultural Production, Yield &amp; Agribusiness Intelligence for India</w:t>
      </w:r>
    </w:p>
    <w:p>
      <w:pPr>
        <w:jc w:val="center"/>
      </w:pPr>
      <w:r>
        <w:rPr>
          <w:b/>
        </w:rPr>
        <w:t>Junior Data Science Analyst – Agriculture &amp; Agribusiness</w:t>
        <w:br/>
      </w:r>
      <w:r>
        <w:t>Data Exploration and Strategy Formulation</w:t>
      </w:r>
    </w:p>
    <w:p>
      <w:pPr>
        <w:pStyle w:val="Heading1"/>
      </w:pPr>
      <w:r>
        <w:t>1. Executive Summary</w:t>
      </w:r>
    </w:p>
    <w:p>
      <w:r>
        <w:t>This project explores public agricultural data to understand how crop area, production and yield have changed across major crops in India and how these patterns can support agribusiness decision-making. The initial analysis uses official normal-estimate statistics published by the Directorate of Economics &amp; Statistics (DES), Department of Agriculture &amp; Farmers Welfare. The analytical extract covers three overlapping five-year periods and includes Rice, Wheat, Maize, Gram, Groundnut, Rapeseed &amp; Mustard, Soybean, Total Pulses and Total Foodgrains.</w:t>
      </w:r>
    </w:p>
    <w:p>
      <w:r>
        <w:t>Concrete results show that Total Foodgrains production increased from 285.71 million tonnes in the 2016-17 to 2020-21 normal estimate to 329.22 million tonnes in the 2020-21 to 2024-25 normal estimate, a 15.2% increase. Foodgrain yield also increased from 2247 to 2487 kg/ha, a 10.7% increase.</w:t>
      </w:r>
    </w:p>
    <w:p>
      <w:r>
        <w:t>Several individual crops recorded notable production changes: maize increased by 32.9%, rapeseed &amp; mustard by 40.0%, groundnut by 26.5%, rice by 18.4%, and wheat by 9.1%. These results show why production should be decomposed into area and yield effects rather than treated as a single indicator.</w:t>
      </w:r>
    </w:p>
    <w:p>
      <w:r>
        <w:t>The project will progress from national descriptive statistics toward state- and district-level analysis. The next stages will integrate rainfall, irrigation and market information to identify productivity gaps, climate exposure, supply opportunities and potential agribusiness hotspots. The planned workflow uses Python, Pandas, NumPy, Matplotlib, Jupyter/VS Code, Excel and GitHub.</w:t>
      </w:r>
    </w:p>
    <w:p>
      <w:pPr>
        <w:pStyle w:val="Heading1"/>
      </w:pPr>
      <w:r>
        <w:t>2. Introduction and Problem Statement</w:t>
      </w:r>
    </w:p>
    <w:p>
      <w:r>
        <w:t>Agriculture in India is highly diverse across crops, seasons and regions. For an agribusiness decision-maker, a national production figure alone is not sufficient to determine where investment, inputs, storage, processing, procurement or advisory services may be most valuable. The analytical problem is therefore to identify measurable patterns in crop production and productivity and then determine which regional and market variables could explain or strengthen those patterns.</w:t>
      </w:r>
    </w:p>
    <w:p>
      <w:r>
        <w:t>Central business question: Which crops and regions in India show the strongest production and productivity trends, what factors are associated with those differences, and where could agribusiness opportunities or risks be prioritized?</w:t>
      </w:r>
    </w:p>
    <w:p>
      <w:pPr>
        <w:pStyle w:val="Heading2"/>
      </w:pPr>
      <w:r>
        <w:t>2.1 Initial Hypotheses</w:t>
      </w:r>
    </w:p>
    <w:p>
      <w:pPr>
        <w:pStyle w:val="ListBullet"/>
      </w:pPr>
      <w:r>
        <w:t>Production growth may be driven by increased cultivated area, improved yield, or a combination of both.</w:t>
      </w:r>
    </w:p>
    <w:p>
      <w:pPr>
        <w:pStyle w:val="ListBullet"/>
      </w:pPr>
      <w:r>
        <w:t>Yield performance varies by crop and geography, creating potential productivity gaps.</w:t>
      </w:r>
    </w:p>
    <w:p>
      <w:pPr>
        <w:pStyle w:val="ListBullet"/>
      </w:pPr>
      <w:r>
        <w:t>Rainfall variability and irrigation availability may be associated with differences in crop performance.</w:t>
      </w:r>
    </w:p>
    <w:p>
      <w:pPr>
        <w:pStyle w:val="ListBullet"/>
      </w:pPr>
      <w:r>
        <w:t>Market prices and arrivals may reveal stronger commercialization opportunities for selected crop-region combinations.</w:t>
      </w:r>
    </w:p>
    <w:p>
      <w:pPr>
        <w:pStyle w:val="ListBullet"/>
      </w:pPr>
      <w:r>
        <w:t>Regions with sustained production growth may create opportunities for inputs, storage, logistics, processing and advisory services.</w:t>
      </w:r>
    </w:p>
    <w:p>
      <w:pPr>
        <w:pStyle w:val="Heading1"/>
      </w:pPr>
      <w:r>
        <w:t>3. Data Sources and Exploration</w:t>
      </w:r>
    </w:p>
    <w:p>
      <w:r>
        <w:t>The primary source is the Directorate of Economics &amp; Statistics (DES), Department of Agriculture &amp; Farmers Welfare, Government of India. DES provides Area, Production &amp; Yield reports with selectable state, district, crop, season and year dimensions. The project also identifies India’s Open Government Data platform, rainfall/climate datasets and Agmarknet as potential sources for subsequent integration.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Source</w:t>
            </w:r>
          </w:p>
        </w:tc>
        <w:tc>
          <w:tcPr>
            <w:tcW w:type="dxa" w:w="3312"/>
            <w:vAlign w:val="center"/>
          </w:tcPr>
          <w:p>
            <w:r>
              <w:rPr>
                <w:sz w:val="18"/>
              </w:rPr>
              <w:t>Planned use</w:t>
            </w:r>
          </w:p>
        </w:tc>
        <w:tc>
          <w:tcPr>
            <w:tcW w:type="dxa" w:w="3312"/>
            <w:vAlign w:val="center"/>
          </w:tcPr>
          <w:p>
            <w:r>
              <w:rPr>
                <w:sz w:val="18"/>
              </w:rPr>
              <w:t>Role</w:t>
            </w:r>
          </w:p>
        </w:tc>
      </w:tr>
      <w:tr>
        <w:tc>
          <w:tcPr>
            <w:tcW w:type="dxa" w:w="3312"/>
            <w:vAlign w:val="center"/>
          </w:tcPr>
          <w:p>
            <w:r>
              <w:rPr>
                <w:sz w:val="18"/>
              </w:rPr>
              <w:t>DES Agricultural Statistics at a Glance 2024-25</w:t>
            </w:r>
          </w:p>
        </w:tc>
        <w:tc>
          <w:tcPr>
            <w:tcW w:type="dxa" w:w="3312"/>
            <w:vAlign w:val="center"/>
          </w:tcPr>
          <w:p>
            <w:r>
              <w:rPr>
                <w:sz w:val="18"/>
              </w:rPr>
              <w:t>Official normal estimates; area, production and yield</w:t>
            </w:r>
          </w:p>
        </w:tc>
        <w:tc>
          <w:tcPr>
            <w:tcW w:type="dxa" w:w="3312"/>
            <w:vAlign w:val="center"/>
          </w:tcPr>
          <w:p>
            <w:r>
              <w:rPr>
                <w:sz w:val="18"/>
              </w:rPr>
              <w:t>Primary</w:t>
            </w:r>
          </w:p>
        </w:tc>
      </w:tr>
      <w:tr>
        <w:tc>
          <w:tcPr>
            <w:tcW w:type="dxa" w:w="3312"/>
            <w:vAlign w:val="center"/>
          </w:tcPr>
          <w:p>
            <w:r>
              <w:rPr>
                <w:sz w:val="18"/>
              </w:rPr>
              <w:t>DES Area, Production &amp; Yield Reports</w:t>
            </w:r>
          </w:p>
        </w:tc>
        <w:tc>
          <w:tcPr>
            <w:tcW w:type="dxa" w:w="3312"/>
            <w:vAlign w:val="center"/>
          </w:tcPr>
          <w:p>
            <w:r>
              <w:rPr>
                <w:sz w:val="18"/>
              </w:rPr>
              <w:t>State/district/crop/season/year APY analysis</w:t>
            </w:r>
          </w:p>
        </w:tc>
        <w:tc>
          <w:tcPr>
            <w:tcW w:type="dxa" w:w="3312"/>
            <w:vAlign w:val="center"/>
          </w:tcPr>
          <w:p>
            <w:r>
              <w:rPr>
                <w:sz w:val="18"/>
              </w:rPr>
              <w:t>Primary</w:t>
            </w:r>
          </w:p>
        </w:tc>
      </w:tr>
      <w:tr>
        <w:tc>
          <w:tcPr>
            <w:tcW w:type="dxa" w:w="3312"/>
            <w:vAlign w:val="center"/>
          </w:tcPr>
          <w:p>
            <w:r>
              <w:rPr>
                <w:sz w:val="18"/>
              </w:rPr>
              <w:t>India Open Government Data</w:t>
            </w:r>
          </w:p>
        </w:tc>
        <w:tc>
          <w:tcPr>
            <w:tcW w:type="dxa" w:w="3312"/>
            <w:vAlign w:val="center"/>
          </w:tcPr>
          <w:p>
            <w:r>
              <w:rPr>
                <w:sz w:val="18"/>
              </w:rPr>
              <w:t>District-wise and season-wise crop production</w:t>
            </w:r>
          </w:p>
        </w:tc>
        <w:tc>
          <w:tcPr>
            <w:tcW w:type="dxa" w:w="3312"/>
            <w:vAlign w:val="center"/>
          </w:tcPr>
          <w:p>
            <w:r>
              <w:rPr>
                <w:sz w:val="18"/>
              </w:rPr>
              <w:t>Official supporting source</w:t>
            </w:r>
          </w:p>
        </w:tc>
      </w:tr>
      <w:tr>
        <w:tc>
          <w:tcPr>
            <w:tcW w:type="dxa" w:w="3312"/>
            <w:vAlign w:val="center"/>
          </w:tcPr>
          <w:p>
            <w:r>
              <w:rPr>
                <w:sz w:val="18"/>
              </w:rPr>
              <w:t>Rainfall / climate datasets</w:t>
            </w:r>
          </w:p>
        </w:tc>
        <w:tc>
          <w:tcPr>
            <w:tcW w:type="dxa" w:w="3312"/>
            <w:vAlign w:val="center"/>
          </w:tcPr>
          <w:p>
            <w:r>
              <w:rPr>
                <w:sz w:val="18"/>
              </w:rPr>
              <w:t>Rainfall and weather variability</w:t>
            </w:r>
          </w:p>
        </w:tc>
        <w:tc>
          <w:tcPr>
            <w:tcW w:type="dxa" w:w="3312"/>
            <w:vAlign w:val="center"/>
          </w:tcPr>
          <w:p>
            <w:r>
              <w:rPr>
                <w:sz w:val="18"/>
              </w:rPr>
              <w:t>Future integration</w:t>
            </w:r>
          </w:p>
        </w:tc>
      </w:tr>
      <w:tr>
        <w:tc>
          <w:tcPr>
            <w:tcW w:type="dxa" w:w="3312"/>
            <w:vAlign w:val="center"/>
          </w:tcPr>
          <w:p>
            <w:r>
              <w:rPr>
                <w:sz w:val="18"/>
              </w:rPr>
              <w:t>Agmarknet</w:t>
            </w:r>
          </w:p>
        </w:tc>
        <w:tc>
          <w:tcPr>
            <w:tcW w:type="dxa" w:w="3312"/>
            <w:vAlign w:val="center"/>
          </w:tcPr>
          <w:p>
            <w:r>
              <w:rPr>
                <w:sz w:val="18"/>
              </w:rPr>
              <w:t>Market arrivals and prices</w:t>
            </w:r>
          </w:p>
        </w:tc>
        <w:tc>
          <w:tcPr>
            <w:tcW w:type="dxa" w:w="3312"/>
            <w:vAlign w:val="center"/>
          </w:tcPr>
          <w:p>
            <w:r>
              <w:rPr>
                <w:sz w:val="18"/>
              </w:rPr>
              <w:t>Future integration</w:t>
            </w:r>
          </w:p>
        </w:tc>
      </w:tr>
    </w:tbl>
    <w:p>
      <w:pPr>
        <w:pStyle w:val="Heading2"/>
      </w:pPr>
      <w:r>
        <w:t>3.1 Current Analytical Dataset</w:t>
      </w:r>
    </w:p>
    <w:p>
      <w:r>
        <w:t>The Week 1 dataset contains 27 observations covering 9 crops/crop groups and 3 normal-estimate periods. Variables are area in million hectares, production in million tonnes and yield in kilograms per hectare. The extract is intentionally compact so the analytical strategy can be validated before scaling to district-level data.</w:t>
      </w:r>
    </w:p>
    <w:p>
      <w:pPr>
        <w:pStyle w:val="Heading1"/>
      </w:pPr>
      <w:r>
        <w:t>4. Concrete Findings and Evidence</w:t>
      </w:r>
    </w:p>
    <w:p>
      <w:r>
        <w:t>The following comparison uses the earliest and latest normal-estimate periods in the analytical extract. Because the five-year normal periods overlap, these are average-period comparisons rather than annual growth rates.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sz w:val="18"/>
              </w:rPr>
              <w:t>Crop / Group</w:t>
            </w:r>
          </w:p>
        </w:tc>
        <w:tc>
          <w:tcPr>
            <w:tcW w:type="dxa" w:w="1987"/>
            <w:vAlign w:val="center"/>
          </w:tcPr>
          <w:p>
            <w:r>
              <w:rPr>
                <w:sz w:val="18"/>
              </w:rPr>
              <w:t>Earliest production</w:t>
            </w:r>
          </w:p>
        </w:tc>
        <w:tc>
          <w:tcPr>
            <w:tcW w:type="dxa" w:w="1987"/>
            <w:vAlign w:val="center"/>
          </w:tcPr>
          <w:p>
            <w:r>
              <w:rPr>
                <w:sz w:val="18"/>
              </w:rPr>
              <w:t>Latest production</w:t>
            </w:r>
          </w:p>
        </w:tc>
        <w:tc>
          <w:tcPr>
            <w:tcW w:type="dxa" w:w="1987"/>
            <w:vAlign w:val="center"/>
          </w:tcPr>
          <w:p>
            <w:r>
              <w:rPr>
                <w:sz w:val="18"/>
              </w:rPr>
              <w:t>Production change</w:t>
            </w:r>
          </w:p>
        </w:tc>
        <w:tc>
          <w:tcPr>
            <w:tcW w:type="dxa" w:w="1987"/>
            <w:vAlign w:val="center"/>
          </w:tcPr>
          <w:p>
            <w:r>
              <w:rPr>
                <w:sz w:val="18"/>
              </w:rPr>
              <w:t>Yield change</w:t>
            </w:r>
          </w:p>
        </w:tc>
      </w:tr>
      <w:tr>
        <w:tc>
          <w:tcPr>
            <w:tcW w:type="dxa" w:w="1987"/>
            <w:vAlign w:val="center"/>
          </w:tcPr>
          <w:p>
            <w:r>
              <w:rPr>
                <w:sz w:val="18"/>
              </w:rPr>
              <w:t>Total Foodgrains</w:t>
            </w:r>
          </w:p>
        </w:tc>
        <w:tc>
          <w:tcPr>
            <w:tcW w:type="dxa" w:w="1987"/>
            <w:vAlign w:val="center"/>
          </w:tcPr>
          <w:p>
            <w:r>
              <w:rPr>
                <w:sz w:val="18"/>
              </w:rPr>
              <w:t>285.71 Mt</w:t>
            </w:r>
          </w:p>
        </w:tc>
        <w:tc>
          <w:tcPr>
            <w:tcW w:type="dxa" w:w="1987"/>
            <w:vAlign w:val="center"/>
          </w:tcPr>
          <w:p>
            <w:r>
              <w:rPr>
                <w:sz w:val="18"/>
              </w:rPr>
              <w:t>329.22 Mt</w:t>
            </w:r>
          </w:p>
        </w:tc>
        <w:tc>
          <w:tcPr>
            <w:tcW w:type="dxa" w:w="1987"/>
            <w:vAlign w:val="center"/>
          </w:tcPr>
          <w:p>
            <w:r>
              <w:rPr>
                <w:sz w:val="18"/>
              </w:rPr>
              <w:t>15.2%</w:t>
            </w:r>
          </w:p>
        </w:tc>
        <w:tc>
          <w:tcPr>
            <w:tcW w:type="dxa" w:w="1987"/>
            <w:vAlign w:val="center"/>
          </w:tcPr>
          <w:p>
            <w:r>
              <w:rPr>
                <w:sz w:val="18"/>
              </w:rPr>
              <w:t>10.7%</w:t>
            </w:r>
          </w:p>
        </w:tc>
      </w:tr>
      <w:tr>
        <w:tc>
          <w:tcPr>
            <w:tcW w:type="dxa" w:w="1987"/>
            <w:vAlign w:val="center"/>
          </w:tcPr>
          <w:p>
            <w:r>
              <w:rPr>
                <w:sz w:val="18"/>
              </w:rPr>
              <w:t>Rice</w:t>
            </w:r>
          </w:p>
        </w:tc>
        <w:tc>
          <w:tcPr>
            <w:tcW w:type="dxa" w:w="1987"/>
            <w:vAlign w:val="center"/>
          </w:tcPr>
          <w:p>
            <w:r>
              <w:rPr>
                <w:sz w:val="18"/>
              </w:rPr>
              <w:t>114.45 Mt</w:t>
            </w:r>
          </w:p>
        </w:tc>
        <w:tc>
          <w:tcPr>
            <w:tcW w:type="dxa" w:w="1987"/>
            <w:vAlign w:val="center"/>
          </w:tcPr>
          <w:p>
            <w:r>
              <w:rPr>
                <w:sz w:val="18"/>
              </w:rPr>
              <w:t>135.52 Mt</w:t>
            </w:r>
          </w:p>
        </w:tc>
        <w:tc>
          <w:tcPr>
            <w:tcW w:type="dxa" w:w="1987"/>
            <w:vAlign w:val="center"/>
          </w:tcPr>
          <w:p>
            <w:r>
              <w:rPr>
                <w:sz w:val="18"/>
              </w:rPr>
              <w:t>18.4%</w:t>
            </w:r>
          </w:p>
        </w:tc>
        <w:tc>
          <w:tcPr>
            <w:tcW w:type="dxa" w:w="1987"/>
            <w:vAlign w:val="center"/>
          </w:tcPr>
          <w:p>
            <w:r>
              <w:rPr>
                <w:sz w:val="18"/>
              </w:rPr>
              <w:t>8.7%</w:t>
            </w:r>
          </w:p>
        </w:tc>
      </w:tr>
      <w:tr>
        <w:tc>
          <w:tcPr>
            <w:tcW w:type="dxa" w:w="1987"/>
            <w:vAlign w:val="center"/>
          </w:tcPr>
          <w:p>
            <w:r>
              <w:rPr>
                <w:sz w:val="18"/>
              </w:rPr>
              <w:t>Wheat</w:t>
            </w:r>
          </w:p>
        </w:tc>
        <w:tc>
          <w:tcPr>
            <w:tcW w:type="dxa" w:w="1987"/>
            <w:vAlign w:val="center"/>
          </w:tcPr>
          <w:p>
            <w:r>
              <w:rPr>
                <w:sz w:val="18"/>
              </w:rPr>
              <w:t>102.46 Mt</w:t>
            </w:r>
          </w:p>
        </w:tc>
        <w:tc>
          <w:tcPr>
            <w:tcW w:type="dxa" w:w="1987"/>
            <w:vAlign w:val="center"/>
          </w:tcPr>
          <w:p>
            <w:r>
              <w:rPr>
                <w:sz w:val="18"/>
              </w:rPr>
              <w:t>111.82 Mt</w:t>
            </w:r>
          </w:p>
        </w:tc>
        <w:tc>
          <w:tcPr>
            <w:tcW w:type="dxa" w:w="1987"/>
            <w:vAlign w:val="center"/>
          </w:tcPr>
          <w:p>
            <w:r>
              <w:rPr>
                <w:sz w:val="18"/>
              </w:rPr>
              <w:t>9.1%</w:t>
            </w:r>
          </w:p>
        </w:tc>
        <w:tc>
          <w:tcPr>
            <w:tcW w:type="dxa" w:w="1987"/>
            <w:vAlign w:val="center"/>
          </w:tcPr>
          <w:p>
            <w:r>
              <w:rPr>
                <w:sz w:val="18"/>
              </w:rPr>
              <w:t>4.8%</w:t>
            </w:r>
          </w:p>
        </w:tc>
      </w:tr>
      <w:tr>
        <w:tc>
          <w:tcPr>
            <w:tcW w:type="dxa" w:w="1987"/>
            <w:vAlign w:val="center"/>
          </w:tcPr>
          <w:p>
            <w:r>
              <w:rPr>
                <w:sz w:val="18"/>
              </w:rPr>
              <w:t>Maize</w:t>
            </w:r>
          </w:p>
        </w:tc>
        <w:tc>
          <w:tcPr>
            <w:tcW w:type="dxa" w:w="1987"/>
            <w:vAlign w:val="center"/>
          </w:tcPr>
          <w:p>
            <w:r>
              <w:rPr>
                <w:sz w:val="18"/>
              </w:rPr>
              <w:t>27.78 Mt</w:t>
            </w:r>
          </w:p>
        </w:tc>
        <w:tc>
          <w:tcPr>
            <w:tcW w:type="dxa" w:w="1987"/>
            <w:vAlign w:val="center"/>
          </w:tcPr>
          <w:p>
            <w:r>
              <w:rPr>
                <w:sz w:val="18"/>
              </w:rPr>
              <w:t>36.91 Mt</w:t>
            </w:r>
          </w:p>
        </w:tc>
        <w:tc>
          <w:tcPr>
            <w:tcW w:type="dxa" w:w="1987"/>
            <w:vAlign w:val="center"/>
          </w:tcPr>
          <w:p>
            <w:r>
              <w:rPr>
                <w:sz w:val="18"/>
              </w:rPr>
              <w:t>32.9%</w:t>
            </w:r>
          </w:p>
        </w:tc>
        <w:tc>
          <w:tcPr>
            <w:tcW w:type="dxa" w:w="1987"/>
            <w:vAlign w:val="center"/>
          </w:tcPr>
          <w:p>
            <w:r>
              <w:rPr>
                <w:sz w:val="18"/>
              </w:rPr>
              <w:t>15.8%</w:t>
            </w:r>
          </w:p>
        </w:tc>
      </w:tr>
      <w:tr>
        <w:tc>
          <w:tcPr>
            <w:tcW w:type="dxa" w:w="1987"/>
            <w:vAlign w:val="center"/>
          </w:tcPr>
          <w:p>
            <w:r>
              <w:rPr>
                <w:sz w:val="18"/>
              </w:rPr>
              <w:t>Groundnut</w:t>
            </w:r>
          </w:p>
        </w:tc>
        <w:tc>
          <w:tcPr>
            <w:tcW w:type="dxa" w:w="1987"/>
            <w:vAlign w:val="center"/>
          </w:tcPr>
          <w:p>
            <w:r>
              <w:rPr>
                <w:sz w:val="18"/>
              </w:rPr>
              <w:t>8.35 Mt</w:t>
            </w:r>
          </w:p>
        </w:tc>
        <w:tc>
          <w:tcPr>
            <w:tcW w:type="dxa" w:w="1987"/>
            <w:vAlign w:val="center"/>
          </w:tcPr>
          <w:p>
            <w:r>
              <w:rPr>
                <w:sz w:val="18"/>
              </w:rPr>
              <w:t>10.56 Mt</w:t>
            </w:r>
          </w:p>
        </w:tc>
        <w:tc>
          <w:tcPr>
            <w:tcW w:type="dxa" w:w="1987"/>
            <w:vAlign w:val="center"/>
          </w:tcPr>
          <w:p>
            <w:r>
              <w:rPr>
                <w:sz w:val="18"/>
              </w:rPr>
              <w:t>26.5%</w:t>
            </w:r>
          </w:p>
        </w:tc>
        <w:tc>
          <w:tcPr>
            <w:tcW w:type="dxa" w:w="1987"/>
            <w:vAlign w:val="center"/>
          </w:tcPr>
          <w:p>
            <w:r>
              <w:rPr>
                <w:sz w:val="18"/>
              </w:rPr>
              <w:t>15.2%</w:t>
            </w:r>
          </w:p>
        </w:tc>
      </w:tr>
      <w:tr>
        <w:tc>
          <w:tcPr>
            <w:tcW w:type="dxa" w:w="1987"/>
            <w:vAlign w:val="center"/>
          </w:tcPr>
          <w:p>
            <w:r>
              <w:rPr>
                <w:sz w:val="18"/>
              </w:rPr>
              <w:t>Rapeseed &amp; Mustard</w:t>
            </w:r>
          </w:p>
        </w:tc>
        <w:tc>
          <w:tcPr>
            <w:tcW w:type="dxa" w:w="1987"/>
            <w:vAlign w:val="center"/>
          </w:tcPr>
          <w:p>
            <w:r>
              <w:rPr>
                <w:sz w:val="18"/>
              </w:rPr>
              <w:t>8.68 Mt</w:t>
            </w:r>
          </w:p>
        </w:tc>
        <w:tc>
          <w:tcPr>
            <w:tcW w:type="dxa" w:w="1987"/>
            <w:vAlign w:val="center"/>
          </w:tcPr>
          <w:p>
            <w:r>
              <w:rPr>
                <w:sz w:val="18"/>
              </w:rPr>
              <w:t>12.15 Mt</w:t>
            </w:r>
          </w:p>
        </w:tc>
        <w:tc>
          <w:tcPr>
            <w:tcW w:type="dxa" w:w="1987"/>
            <w:vAlign w:val="center"/>
          </w:tcPr>
          <w:p>
            <w:r>
              <w:rPr>
                <w:sz w:val="18"/>
              </w:rPr>
              <w:t>40.0%</w:t>
            </w:r>
          </w:p>
        </w:tc>
        <w:tc>
          <w:tcPr>
            <w:tcW w:type="dxa" w:w="1987"/>
            <w:vAlign w:val="center"/>
          </w:tcPr>
          <w:p>
            <w:r>
              <w:rPr>
                <w:sz w:val="18"/>
              </w:rPr>
              <w:t>5.8%</w:t>
            </w:r>
          </w:p>
        </w:tc>
      </w:tr>
      <w:tr>
        <w:tc>
          <w:tcPr>
            <w:tcW w:type="dxa" w:w="1987"/>
            <w:vAlign w:val="center"/>
          </w:tcPr>
          <w:p>
            <w:r>
              <w:rPr>
                <w:sz w:val="18"/>
              </w:rPr>
              <w:t>Soybean</w:t>
            </w:r>
          </w:p>
        </w:tc>
        <w:tc>
          <w:tcPr>
            <w:tcW w:type="dxa" w:w="1987"/>
            <w:vAlign w:val="center"/>
          </w:tcPr>
          <w:p>
            <w:r>
              <w:rPr>
                <w:sz w:val="18"/>
              </w:rPr>
              <w:t>12.15 Mt</w:t>
            </w:r>
          </w:p>
        </w:tc>
        <w:tc>
          <w:tcPr>
            <w:tcW w:type="dxa" w:w="1987"/>
            <w:vAlign w:val="center"/>
          </w:tcPr>
          <w:p>
            <w:r>
              <w:rPr>
                <w:sz w:val="18"/>
              </w:rPr>
              <w:t>13.78 Mt</w:t>
            </w:r>
          </w:p>
        </w:tc>
        <w:tc>
          <w:tcPr>
            <w:tcW w:type="dxa" w:w="1987"/>
            <w:vAlign w:val="center"/>
          </w:tcPr>
          <w:p>
            <w:r>
              <w:rPr>
                <w:sz w:val="18"/>
              </w:rPr>
              <w:t>13.4%</w:t>
            </w:r>
          </w:p>
        </w:tc>
        <w:tc>
          <w:tcPr>
            <w:tcW w:type="dxa" w:w="1987"/>
            <w:vAlign w:val="center"/>
          </w:tcPr>
          <w:p>
            <w:r>
              <w:rPr>
                <w:sz w:val="18"/>
              </w:rPr>
              <w:t>-1.2%</w:t>
            </w:r>
          </w:p>
        </w:tc>
      </w:tr>
    </w:tbl>
    <w:p>
      <w:pPr>
        <w:pStyle w:val="Heading2"/>
      </w:pPr>
      <w:r>
        <w:t>4.1 Interpretation of the Numbers</w:t>
      </w:r>
    </w:p>
    <w:p>
      <w:r>
        <w:t>Total Foodgrains increased from 285.71 Mt to 329.22 Mt (15.2%). Yield increased by 10.7%, from 2247 to 2487 kg/ha. This makes productivity an important analytical dimension alongside cultivated area.</w:t>
      </w:r>
    </w:p>
    <w:p>
      <w:r>
        <w:t>Maize provides a strong example: production rose 32.9%, from 27.78 Mt to 36.91 Mt, while yield changed by 15.8%. Rapeseed &amp; mustard production increased 40.0%, from 8.68 Mt to 12.15 Mt. These patterns should be investigated at state/district level to determine whether area expansion or productivity improvement is the stronger driver.</w:t>
      </w:r>
    </w:p>
    <w:p>
      <w:r>
        <w:t>Rice increased from 114.45 Mt to 135.52 Mt (18.4%), while wheat increased from 102.46 Mt to 111.82 Mt (9.1%). Because rice and wheat are major foodgrain crops, their performance is particularly relevant to supply planning and value-chain decisions.</w:t>
      </w:r>
    </w:p>
    <w:p>
      <w:pPr>
        <w:pStyle w:val="Heading1"/>
      </w:pPr>
      <w:r>
        <w:t>5. Analytical Methodology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Stage</w:t>
            </w:r>
          </w:p>
        </w:tc>
        <w:tc>
          <w:tcPr>
            <w:tcW w:type="dxa" w:w="3312"/>
            <w:vAlign w:val="center"/>
          </w:tcPr>
          <w:p>
            <w:r>
              <w:rPr>
                <w:sz w:val="18"/>
              </w:rPr>
              <w:t>Method</w:t>
            </w:r>
          </w:p>
        </w:tc>
        <w:tc>
          <w:tcPr>
            <w:tcW w:type="dxa" w:w="3312"/>
            <w:vAlign w:val="center"/>
          </w:tcPr>
          <w:p>
            <w:r>
              <w:rPr>
                <w:sz w:val="18"/>
              </w:rPr>
              <w:t>Purpose</w:t>
            </w:r>
          </w:p>
        </w:tc>
      </w:tr>
      <w:tr>
        <w:tc>
          <w:tcPr>
            <w:tcW w:type="dxa" w:w="3312"/>
            <w:vAlign w:val="center"/>
          </w:tcPr>
          <w:p>
            <w:r>
              <w:rPr>
                <w:sz w:val="18"/>
              </w:rPr>
              <w:t>1</w:t>
            </w:r>
          </w:p>
        </w:tc>
        <w:tc>
          <w:tcPr>
            <w:tcW w:type="dxa" w:w="3312"/>
            <w:vAlign w:val="center"/>
          </w:tcPr>
          <w:p>
            <w:r>
              <w:rPr>
                <w:sz w:val="18"/>
              </w:rPr>
              <w:t>Data acquisition</w:t>
            </w:r>
          </w:p>
        </w:tc>
        <w:tc>
          <w:tcPr>
            <w:tcW w:type="dxa" w:w="3312"/>
            <w:vAlign w:val="center"/>
          </w:tcPr>
          <w:p>
            <w:r>
              <w:rPr>
                <w:sz w:val="18"/>
              </w:rPr>
              <w:t>Identify official datasets, metadata, units, time coverage and geography — Establish reliable inputs</w:t>
            </w:r>
          </w:p>
        </w:tc>
      </w:tr>
      <w:tr>
        <w:tc>
          <w:tcPr>
            <w:tcW w:type="dxa" w:w="3312"/>
            <w:vAlign w:val="center"/>
          </w:tcPr>
          <w:p>
            <w:r>
              <w:rPr>
                <w:sz w:val="18"/>
              </w:rPr>
              <w:t>2</w:t>
            </w:r>
          </w:p>
        </w:tc>
        <w:tc>
          <w:tcPr>
            <w:tcW w:type="dxa" w:w="3312"/>
            <w:vAlign w:val="center"/>
          </w:tcPr>
          <w:p>
            <w:r>
              <w:rPr>
                <w:sz w:val="18"/>
              </w:rPr>
              <w:t>Data preparation</w:t>
            </w:r>
          </w:p>
        </w:tc>
        <w:tc>
          <w:tcPr>
            <w:tcW w:type="dxa" w:w="3312"/>
            <w:vAlign w:val="center"/>
          </w:tcPr>
          <w:p>
            <w:r>
              <w:rPr>
                <w:sz w:val="18"/>
              </w:rPr>
              <w:t>Standardize crop names, units and periods; check missing values, duplicates and ranges — Create analysis-ready data</w:t>
            </w:r>
          </w:p>
        </w:tc>
      </w:tr>
      <w:tr>
        <w:tc>
          <w:tcPr>
            <w:tcW w:type="dxa" w:w="3312"/>
            <w:vAlign w:val="center"/>
          </w:tcPr>
          <w:p>
            <w:r>
              <w:rPr>
                <w:sz w:val="18"/>
              </w:rPr>
              <w:t>3</w:t>
            </w:r>
          </w:p>
        </w:tc>
        <w:tc>
          <w:tcPr>
            <w:tcW w:type="dxa" w:w="3312"/>
            <w:vAlign w:val="center"/>
          </w:tcPr>
          <w:p>
            <w:r>
              <w:rPr>
                <w:sz w:val="18"/>
              </w:rPr>
              <w:t>Descriptive analysis</w:t>
            </w:r>
          </w:p>
        </w:tc>
        <w:tc>
          <w:tcPr>
            <w:tcW w:type="dxa" w:w="3312"/>
            <w:vAlign w:val="center"/>
          </w:tcPr>
          <w:p>
            <w:r>
              <w:rPr>
                <w:sz w:val="18"/>
              </w:rPr>
              <w:t>Summary statistics for area, production and yield — Understand baseline patterns</w:t>
            </w:r>
          </w:p>
        </w:tc>
      </w:tr>
      <w:tr>
        <w:tc>
          <w:tcPr>
            <w:tcW w:type="dxa" w:w="3312"/>
            <w:vAlign w:val="center"/>
          </w:tcPr>
          <w:p>
            <w:r>
              <w:rPr>
                <w:sz w:val="18"/>
              </w:rPr>
              <w:t>4</w:t>
            </w:r>
          </w:p>
        </w:tc>
        <w:tc>
          <w:tcPr>
            <w:tcW w:type="dxa" w:w="3312"/>
            <w:vAlign w:val="center"/>
          </w:tcPr>
          <w:p>
            <w:r>
              <w:rPr>
                <w:sz w:val="18"/>
              </w:rPr>
              <w:t>Trend analysis</w:t>
            </w:r>
          </w:p>
        </w:tc>
        <w:tc>
          <w:tcPr>
            <w:tcW w:type="dxa" w:w="3312"/>
            <w:vAlign w:val="center"/>
          </w:tcPr>
          <w:p>
            <w:r>
              <w:rPr>
                <w:sz w:val="18"/>
              </w:rPr>
              <w:t>Production and yield visualizations — Identify direction and magnitude of change</w:t>
            </w:r>
          </w:p>
        </w:tc>
      </w:tr>
      <w:tr>
        <w:tc>
          <w:tcPr>
            <w:tcW w:type="dxa" w:w="3312"/>
            <w:vAlign w:val="center"/>
          </w:tcPr>
          <w:p>
            <w:r>
              <w:rPr>
                <w:sz w:val="18"/>
              </w:rPr>
              <w:t>5</w:t>
            </w:r>
          </w:p>
        </w:tc>
        <w:tc>
          <w:tcPr>
            <w:tcW w:type="dxa" w:w="3312"/>
            <w:vAlign w:val="center"/>
          </w:tcPr>
          <w:p>
            <w:r>
              <w:rPr>
                <w:sz w:val="18"/>
              </w:rPr>
              <w:t>Change analysis</w:t>
            </w:r>
          </w:p>
        </w:tc>
        <w:tc>
          <w:tcPr>
            <w:tcW w:type="dxa" w:w="3312"/>
            <w:vAlign w:val="center"/>
          </w:tcPr>
          <w:p>
            <w:r>
              <w:rPr>
                <w:sz w:val="18"/>
              </w:rPr>
              <w:t>Earliest-to-latest percentage changes; area/yield decomposition — Understand drivers</w:t>
            </w:r>
          </w:p>
        </w:tc>
      </w:tr>
      <w:tr>
        <w:tc>
          <w:tcPr>
            <w:tcW w:type="dxa" w:w="3312"/>
            <w:vAlign w:val="center"/>
          </w:tcPr>
          <w:p>
            <w:r>
              <w:rPr>
                <w:sz w:val="18"/>
              </w:rPr>
              <w:t>6</w:t>
            </w:r>
          </w:p>
        </w:tc>
        <w:tc>
          <w:tcPr>
            <w:tcW w:type="dxa" w:w="3312"/>
            <w:vAlign w:val="center"/>
          </w:tcPr>
          <w:p>
            <w:r>
              <w:rPr>
                <w:sz w:val="18"/>
              </w:rPr>
              <w:t>Regional analysis</w:t>
            </w:r>
          </w:p>
        </w:tc>
        <w:tc>
          <w:tcPr>
            <w:tcW w:type="dxa" w:w="3312"/>
            <w:vAlign w:val="center"/>
          </w:tcPr>
          <w:p>
            <w:r>
              <w:rPr>
                <w:sz w:val="18"/>
              </w:rPr>
              <w:t>State/district/year/season/crop comparisons — Locate hotspots and gaps</w:t>
            </w:r>
          </w:p>
        </w:tc>
      </w:tr>
      <w:tr>
        <w:tc>
          <w:tcPr>
            <w:tcW w:type="dxa" w:w="3312"/>
            <w:vAlign w:val="center"/>
          </w:tcPr>
          <w:p>
            <w:r>
              <w:rPr>
                <w:sz w:val="18"/>
              </w:rPr>
              <w:t>7</w:t>
            </w:r>
          </w:p>
        </w:tc>
        <w:tc>
          <w:tcPr>
            <w:tcW w:type="dxa" w:w="3312"/>
            <w:vAlign w:val="center"/>
          </w:tcPr>
          <w:p>
            <w:r>
              <w:rPr>
                <w:sz w:val="18"/>
              </w:rPr>
              <w:t>Explanatory analysis</w:t>
            </w:r>
          </w:p>
        </w:tc>
        <w:tc>
          <w:tcPr>
            <w:tcW w:type="dxa" w:w="3312"/>
            <w:vAlign w:val="center"/>
          </w:tcPr>
          <w:p>
            <w:r>
              <w:rPr>
                <w:sz w:val="18"/>
              </w:rPr>
              <w:t>Association tests with rainfall, irrigation and markets — Investigate potential drivers</w:t>
            </w:r>
          </w:p>
        </w:tc>
      </w:tr>
      <w:tr>
        <w:tc>
          <w:tcPr>
            <w:tcW w:type="dxa" w:w="3312"/>
            <w:vAlign w:val="center"/>
          </w:tcPr>
          <w:p>
            <w:r>
              <w:rPr>
                <w:sz w:val="18"/>
              </w:rPr>
              <w:t>8</w:t>
            </w:r>
          </w:p>
        </w:tc>
        <w:tc>
          <w:tcPr>
            <w:tcW w:type="dxa" w:w="3312"/>
            <w:vAlign w:val="center"/>
          </w:tcPr>
          <w:p>
            <w:r>
              <w:rPr>
                <w:sz w:val="18"/>
              </w:rPr>
              <w:t>Business translation</w:t>
            </w:r>
          </w:p>
        </w:tc>
        <w:tc>
          <w:tcPr>
            <w:tcW w:type="dxa" w:w="3312"/>
            <w:vAlign w:val="center"/>
          </w:tcPr>
          <w:p>
            <w:r>
              <w:rPr>
                <w:sz w:val="18"/>
              </w:rPr>
              <w:t>Opportunity/risk scorecards and recommendations — Turn findings into decisions</w:t>
            </w:r>
          </w:p>
        </w:tc>
      </w:tr>
    </w:tbl>
    <w:p>
      <w:pPr>
        <w:pStyle w:val="Heading2"/>
      </w:pPr>
      <w:r>
        <w:t>5.1 Data Quality Controls</w:t>
      </w:r>
    </w:p>
    <w:p>
      <w:pPr>
        <w:pStyle w:val="ListBullet"/>
      </w:pPr>
      <w:r>
        <w:t>Missing-value checks</w:t>
      </w:r>
    </w:p>
    <w:p>
      <w:pPr>
        <w:pStyle w:val="ListBullet"/>
      </w:pPr>
      <w:r>
        <w:t>Duplicate-row checks</w:t>
      </w:r>
    </w:p>
    <w:p>
      <w:pPr>
        <w:pStyle w:val="ListBullet"/>
      </w:pPr>
      <w:r>
        <w:t>Range validation for area, production and yield</w:t>
      </w:r>
    </w:p>
    <w:p>
      <w:pPr>
        <w:pStyle w:val="ListBullet"/>
      </w:pPr>
      <w:r>
        <w:t>Unit validation against original DES publications</w:t>
      </w:r>
    </w:p>
    <w:p>
      <w:pPr>
        <w:pStyle w:val="ListBullet"/>
      </w:pPr>
      <w:r>
        <w:t>Consistent crop naming and period labels</w:t>
      </w:r>
    </w:p>
    <w:p>
      <w:pPr>
        <w:pStyle w:val="ListBullet"/>
      </w:pPr>
      <w:r>
        <w:t>Source-date and revision tracking</w:t>
      </w:r>
    </w:p>
    <w:p>
      <w:pPr>
        <w:pStyle w:val="Heading1"/>
      </w:pPr>
      <w:r>
        <w:t>6. Tools and Software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Tool / Software</w:t>
            </w:r>
          </w:p>
        </w:tc>
        <w:tc>
          <w:tcPr>
            <w:tcW w:type="dxa" w:w="3312"/>
            <w:vAlign w:val="center"/>
          </w:tcPr>
          <w:p>
            <w:r>
              <w:rPr>
                <w:sz w:val="18"/>
              </w:rPr>
              <w:t>Planned use</w:t>
            </w:r>
          </w:p>
        </w:tc>
        <w:tc>
          <w:tcPr>
            <w:tcW w:type="dxa" w:w="3312"/>
            <w:vAlign w:val="center"/>
          </w:tcPr>
          <w:p>
            <w:r>
              <w:rPr>
                <w:sz w:val="18"/>
              </w:rPr>
              <w:t>Stage</w:t>
            </w:r>
          </w:p>
        </w:tc>
      </w:tr>
      <w:tr>
        <w:tc>
          <w:tcPr>
            <w:tcW w:type="dxa" w:w="3312"/>
            <w:vAlign w:val="center"/>
          </w:tcPr>
          <w:p>
            <w:r>
              <w:rPr>
                <w:sz w:val="18"/>
              </w:rPr>
              <w:t>Python</w:t>
            </w:r>
          </w:p>
        </w:tc>
        <w:tc>
          <w:tcPr>
            <w:tcW w:type="dxa" w:w="3312"/>
            <w:vAlign w:val="center"/>
          </w:tcPr>
          <w:p>
            <w:r>
              <w:rPr>
                <w:sz w:val="18"/>
              </w:rPr>
              <w:t>Core data analysis and reproducible workflows</w:t>
            </w:r>
          </w:p>
        </w:tc>
        <w:tc>
          <w:tcPr>
            <w:tcW w:type="dxa" w:w="3312"/>
            <w:vAlign w:val="center"/>
          </w:tcPr>
          <w:p>
            <w:r>
              <w:rPr>
                <w:sz w:val="18"/>
              </w:rPr>
              <w:t>All stages</w:t>
            </w:r>
          </w:p>
        </w:tc>
      </w:tr>
      <w:tr>
        <w:tc>
          <w:tcPr>
            <w:tcW w:type="dxa" w:w="3312"/>
            <w:vAlign w:val="center"/>
          </w:tcPr>
          <w:p>
            <w:r>
              <w:rPr>
                <w:sz w:val="18"/>
              </w:rPr>
              <w:t>Pandas</w:t>
            </w:r>
          </w:p>
        </w:tc>
        <w:tc>
          <w:tcPr>
            <w:tcW w:type="dxa" w:w="3312"/>
            <w:vAlign w:val="center"/>
          </w:tcPr>
          <w:p>
            <w:r>
              <w:rPr>
                <w:sz w:val="18"/>
              </w:rPr>
              <w:t>Data loading, cleaning, transformation and aggregation</w:t>
            </w:r>
          </w:p>
        </w:tc>
        <w:tc>
          <w:tcPr>
            <w:tcW w:type="dxa" w:w="3312"/>
            <w:vAlign w:val="center"/>
          </w:tcPr>
          <w:p>
            <w:r>
              <w:rPr>
                <w:sz w:val="18"/>
              </w:rPr>
              <w:t>Data preparation / EDA</w:t>
            </w:r>
          </w:p>
        </w:tc>
      </w:tr>
      <w:tr>
        <w:tc>
          <w:tcPr>
            <w:tcW w:type="dxa" w:w="3312"/>
            <w:vAlign w:val="center"/>
          </w:tcPr>
          <w:p>
            <w:r>
              <w:rPr>
                <w:sz w:val="18"/>
              </w:rPr>
              <w:t>NumPy</w:t>
            </w:r>
          </w:p>
        </w:tc>
        <w:tc>
          <w:tcPr>
            <w:tcW w:type="dxa" w:w="3312"/>
            <w:vAlign w:val="center"/>
          </w:tcPr>
          <w:p>
            <w:r>
              <w:rPr>
                <w:sz w:val="18"/>
              </w:rPr>
              <w:t>Numerical calculations and derived metrics</w:t>
            </w:r>
          </w:p>
        </w:tc>
        <w:tc>
          <w:tcPr>
            <w:tcW w:type="dxa" w:w="3312"/>
            <w:vAlign w:val="center"/>
          </w:tcPr>
          <w:p>
            <w:r>
              <w:rPr>
                <w:sz w:val="18"/>
              </w:rPr>
              <w:t>Analysis</w:t>
            </w:r>
          </w:p>
        </w:tc>
      </w:tr>
      <w:tr>
        <w:tc>
          <w:tcPr>
            <w:tcW w:type="dxa" w:w="3312"/>
            <w:vAlign w:val="center"/>
          </w:tcPr>
          <w:p>
            <w:r>
              <w:rPr>
                <w:sz w:val="18"/>
              </w:rPr>
              <w:t>Matplotlib</w:t>
            </w:r>
          </w:p>
        </w:tc>
        <w:tc>
          <w:tcPr>
            <w:tcW w:type="dxa" w:w="3312"/>
            <w:vAlign w:val="center"/>
          </w:tcPr>
          <w:p>
            <w:r>
              <w:rPr>
                <w:sz w:val="18"/>
              </w:rPr>
              <w:t>Production, yield and comparison visualizations</w:t>
            </w:r>
          </w:p>
        </w:tc>
        <w:tc>
          <w:tcPr>
            <w:tcW w:type="dxa" w:w="3312"/>
            <w:vAlign w:val="center"/>
          </w:tcPr>
          <w:p>
            <w:r>
              <w:rPr>
                <w:sz w:val="18"/>
              </w:rPr>
              <w:t>EDA / reporting</w:t>
            </w:r>
          </w:p>
        </w:tc>
      </w:tr>
      <w:tr>
        <w:tc>
          <w:tcPr>
            <w:tcW w:type="dxa" w:w="3312"/>
            <w:vAlign w:val="center"/>
          </w:tcPr>
          <w:p>
            <w:r>
              <w:rPr>
                <w:sz w:val="18"/>
              </w:rPr>
              <w:t>Jupyter Notebook / VS Code</w:t>
            </w:r>
          </w:p>
        </w:tc>
        <w:tc>
          <w:tcPr>
            <w:tcW w:type="dxa" w:w="3312"/>
            <w:vAlign w:val="center"/>
          </w:tcPr>
          <w:p>
            <w:r>
              <w:rPr>
                <w:sz w:val="18"/>
              </w:rPr>
              <w:t>Interactive analysis, documentation and execution</w:t>
            </w:r>
          </w:p>
        </w:tc>
        <w:tc>
          <w:tcPr>
            <w:tcW w:type="dxa" w:w="3312"/>
            <w:vAlign w:val="center"/>
          </w:tcPr>
          <w:p>
            <w:r>
              <w:rPr>
                <w:sz w:val="18"/>
              </w:rPr>
              <w:t>Development</w:t>
            </w:r>
          </w:p>
        </w:tc>
      </w:tr>
      <w:tr>
        <w:tc>
          <w:tcPr>
            <w:tcW w:type="dxa" w:w="3312"/>
            <w:vAlign w:val="center"/>
          </w:tcPr>
          <w:p>
            <w:r>
              <w:rPr>
                <w:sz w:val="18"/>
              </w:rPr>
              <w:t>Microsoft Excel</w:t>
            </w:r>
          </w:p>
        </w:tc>
        <w:tc>
          <w:tcPr>
            <w:tcW w:type="dxa" w:w="3312"/>
            <w:vAlign w:val="center"/>
          </w:tcPr>
          <w:p>
            <w:r>
              <w:rPr>
                <w:sz w:val="18"/>
              </w:rPr>
              <w:t>Initial inspection and cross-checking</w:t>
            </w:r>
          </w:p>
        </w:tc>
        <w:tc>
          <w:tcPr>
            <w:tcW w:type="dxa" w:w="3312"/>
            <w:vAlign w:val="center"/>
          </w:tcPr>
          <w:p>
            <w:r>
              <w:rPr>
                <w:sz w:val="18"/>
              </w:rPr>
              <w:t>Validation</w:t>
            </w:r>
          </w:p>
        </w:tc>
      </w:tr>
      <w:tr>
        <w:tc>
          <w:tcPr>
            <w:tcW w:type="dxa" w:w="3312"/>
            <w:vAlign w:val="center"/>
          </w:tcPr>
          <w:p>
            <w:r>
              <w:rPr>
                <w:sz w:val="18"/>
              </w:rPr>
              <w:t>GitHub</w:t>
            </w:r>
          </w:p>
        </w:tc>
        <w:tc>
          <w:tcPr>
            <w:tcW w:type="dxa" w:w="3312"/>
            <w:vAlign w:val="center"/>
          </w:tcPr>
          <w:p>
            <w:r>
              <w:rPr>
                <w:sz w:val="18"/>
              </w:rPr>
              <w:t>Version control, project organization and deliverables</w:t>
            </w:r>
          </w:p>
        </w:tc>
        <w:tc>
          <w:tcPr>
            <w:tcW w:type="dxa" w:w="3312"/>
            <w:vAlign w:val="center"/>
          </w:tcPr>
          <w:p>
            <w:r>
              <w:rPr>
                <w:sz w:val="18"/>
              </w:rPr>
              <w:t>Documentation</w:t>
            </w:r>
          </w:p>
        </w:tc>
      </w:tr>
    </w:tbl>
    <w:p>
      <w:pPr>
        <w:pStyle w:val="Heading1"/>
      </w:pPr>
      <w:r>
        <w:t>7. Timeline and Resource Plan</w:t>
      </w:r>
    </w:p>
    <w:p>
      <w:r>
        <w:t>The Week 1 project is planned for approximately 33 hours. The schedule deliberately allocates substantial time to data preparation and exploratory analysis so that business recommendations are supported by evidence.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Phase</w:t>
            </w:r>
          </w:p>
        </w:tc>
        <w:tc>
          <w:tcPr>
            <w:tcW w:type="dxa" w:w="3312"/>
            <w:vAlign w:val="center"/>
          </w:tcPr>
          <w:p>
            <w:r>
              <w:rPr>
                <w:sz w:val="18"/>
              </w:rPr>
              <w:t>Activity</w:t>
            </w:r>
          </w:p>
        </w:tc>
        <w:tc>
          <w:tcPr>
            <w:tcW w:type="dxa" w:w="3312"/>
            <w:vAlign w:val="center"/>
          </w:tcPr>
          <w:p>
            <w:r>
              <w:rPr>
                <w:sz w:val="18"/>
              </w:rPr>
              <w:t>Estimated effort</w:t>
            </w:r>
          </w:p>
        </w:tc>
      </w:tr>
      <w:tr>
        <w:tc>
          <w:tcPr>
            <w:tcW w:type="dxa" w:w="3312"/>
            <w:vAlign w:val="center"/>
          </w:tcPr>
          <w:p>
            <w:r>
              <w:rPr>
                <w:sz w:val="18"/>
              </w:rPr>
              <w:t>1</w:t>
            </w:r>
          </w:p>
        </w:tc>
        <w:tc>
          <w:tcPr>
            <w:tcW w:type="dxa" w:w="3312"/>
            <w:vAlign w:val="center"/>
          </w:tcPr>
          <w:p>
            <w:r>
              <w:rPr>
                <w:sz w:val="18"/>
              </w:rPr>
              <w:t>Project framing and business objectives</w:t>
            </w:r>
          </w:p>
        </w:tc>
        <w:tc>
          <w:tcPr>
            <w:tcW w:type="dxa" w:w="3312"/>
            <w:vAlign w:val="center"/>
          </w:tcPr>
          <w:p>
            <w:r>
              <w:rPr>
                <w:sz w:val="18"/>
              </w:rPr>
              <w:t>3 hours</w:t>
            </w:r>
          </w:p>
        </w:tc>
      </w:tr>
      <w:tr>
        <w:tc>
          <w:tcPr>
            <w:tcW w:type="dxa" w:w="3312"/>
            <w:vAlign w:val="center"/>
          </w:tcPr>
          <w:p>
            <w:r>
              <w:rPr>
                <w:sz w:val="18"/>
              </w:rPr>
              <w:t>2</w:t>
            </w:r>
          </w:p>
        </w:tc>
        <w:tc>
          <w:tcPr>
            <w:tcW w:type="dxa" w:w="3312"/>
            <w:vAlign w:val="center"/>
          </w:tcPr>
          <w:p>
            <w:r>
              <w:rPr>
                <w:sz w:val="18"/>
              </w:rPr>
              <w:t>Data-source identification, acquisition and metadata review</w:t>
            </w:r>
          </w:p>
        </w:tc>
        <w:tc>
          <w:tcPr>
            <w:tcW w:type="dxa" w:w="3312"/>
            <w:vAlign w:val="center"/>
          </w:tcPr>
          <w:p>
            <w:r>
              <w:rPr>
                <w:sz w:val="18"/>
              </w:rPr>
              <w:t>5 hours</w:t>
            </w:r>
          </w:p>
        </w:tc>
      </w:tr>
      <w:tr>
        <w:tc>
          <w:tcPr>
            <w:tcW w:type="dxa" w:w="3312"/>
            <w:vAlign w:val="center"/>
          </w:tcPr>
          <w:p>
            <w:r>
              <w:rPr>
                <w:sz w:val="18"/>
              </w:rPr>
              <w:t>3</w:t>
            </w:r>
          </w:p>
        </w:tc>
        <w:tc>
          <w:tcPr>
            <w:tcW w:type="dxa" w:w="3312"/>
            <w:vAlign w:val="center"/>
          </w:tcPr>
          <w:p>
            <w:r>
              <w:rPr>
                <w:sz w:val="18"/>
              </w:rPr>
              <w:t>Data cleaning and preparation</w:t>
            </w:r>
          </w:p>
        </w:tc>
        <w:tc>
          <w:tcPr>
            <w:tcW w:type="dxa" w:w="3312"/>
            <w:vAlign w:val="center"/>
          </w:tcPr>
          <w:p>
            <w:r>
              <w:rPr>
                <w:sz w:val="18"/>
              </w:rPr>
              <w:t>6 hours</w:t>
            </w:r>
          </w:p>
        </w:tc>
      </w:tr>
      <w:tr>
        <w:tc>
          <w:tcPr>
            <w:tcW w:type="dxa" w:w="3312"/>
            <w:vAlign w:val="center"/>
          </w:tcPr>
          <w:p>
            <w:r>
              <w:rPr>
                <w:sz w:val="18"/>
              </w:rPr>
              <w:t>4</w:t>
            </w:r>
          </w:p>
        </w:tc>
        <w:tc>
          <w:tcPr>
            <w:tcW w:type="dxa" w:w="3312"/>
            <w:vAlign w:val="center"/>
          </w:tcPr>
          <w:p>
            <w:r>
              <w:rPr>
                <w:sz w:val="18"/>
              </w:rPr>
              <w:t>Exploratory data analysis and visualization</w:t>
            </w:r>
          </w:p>
        </w:tc>
        <w:tc>
          <w:tcPr>
            <w:tcW w:type="dxa" w:w="3312"/>
            <w:vAlign w:val="center"/>
          </w:tcPr>
          <w:p>
            <w:r>
              <w:rPr>
                <w:sz w:val="18"/>
              </w:rPr>
              <w:t>7 hours</w:t>
            </w:r>
          </w:p>
        </w:tc>
      </w:tr>
      <w:tr>
        <w:tc>
          <w:tcPr>
            <w:tcW w:type="dxa" w:w="3312"/>
            <w:vAlign w:val="center"/>
          </w:tcPr>
          <w:p>
            <w:r>
              <w:rPr>
                <w:sz w:val="18"/>
              </w:rPr>
              <w:t>5</w:t>
            </w:r>
          </w:p>
        </w:tc>
        <w:tc>
          <w:tcPr>
            <w:tcW w:type="dxa" w:w="3312"/>
            <w:vAlign w:val="center"/>
          </w:tcPr>
          <w:p>
            <w:r>
              <w:rPr>
                <w:sz w:val="18"/>
              </w:rPr>
              <w:t>Climate/market data integration planning and initial testing</w:t>
            </w:r>
          </w:p>
        </w:tc>
        <w:tc>
          <w:tcPr>
            <w:tcW w:type="dxa" w:w="3312"/>
            <w:vAlign w:val="center"/>
          </w:tcPr>
          <w:p>
            <w:r>
              <w:rPr>
                <w:sz w:val="18"/>
              </w:rPr>
              <w:t>5 hours</w:t>
            </w:r>
          </w:p>
        </w:tc>
      </w:tr>
      <w:tr>
        <w:tc>
          <w:tcPr>
            <w:tcW w:type="dxa" w:w="3312"/>
            <w:vAlign w:val="center"/>
          </w:tcPr>
          <w:p>
            <w:r>
              <w:rPr>
                <w:sz w:val="18"/>
              </w:rPr>
              <w:t>6</w:t>
            </w:r>
          </w:p>
        </w:tc>
        <w:tc>
          <w:tcPr>
            <w:tcW w:type="dxa" w:w="3312"/>
            <w:vAlign w:val="center"/>
          </w:tcPr>
          <w:p>
            <w:r>
              <w:rPr>
                <w:sz w:val="18"/>
              </w:rPr>
              <w:t>Agribusiness interpretation and opportunity mapping</w:t>
            </w:r>
          </w:p>
        </w:tc>
        <w:tc>
          <w:tcPr>
            <w:tcW w:type="dxa" w:w="3312"/>
            <w:vAlign w:val="center"/>
          </w:tcPr>
          <w:p>
            <w:r>
              <w:rPr>
                <w:sz w:val="18"/>
              </w:rPr>
              <w:t>3 hours</w:t>
            </w:r>
          </w:p>
        </w:tc>
      </w:tr>
      <w:tr>
        <w:tc>
          <w:tcPr>
            <w:tcW w:type="dxa" w:w="3312"/>
            <w:vAlign w:val="center"/>
          </w:tcPr>
          <w:p>
            <w:r>
              <w:rPr>
                <w:sz w:val="18"/>
              </w:rPr>
              <w:t>7</w:t>
            </w:r>
          </w:p>
        </w:tc>
        <w:tc>
          <w:tcPr>
            <w:tcW w:type="dxa" w:w="3312"/>
            <w:vAlign w:val="center"/>
          </w:tcPr>
          <w:p>
            <w:r>
              <w:rPr>
                <w:sz w:val="18"/>
              </w:rPr>
              <w:t>Documentation, quality review and final submission</w:t>
            </w:r>
          </w:p>
        </w:tc>
        <w:tc>
          <w:tcPr>
            <w:tcW w:type="dxa" w:w="3312"/>
            <w:vAlign w:val="center"/>
          </w:tcPr>
          <w:p>
            <w:r>
              <w:rPr>
                <w:sz w:val="18"/>
              </w:rPr>
              <w:t>4 hours</w:t>
            </w:r>
          </w:p>
        </w:tc>
      </w:tr>
    </w:tbl>
    <w:p>
      <w:r>
        <w:t>Total planned effort: 33 hours.</w:t>
      </w:r>
    </w:p>
    <w:p>
      <w:pPr>
        <w:pStyle w:val="Heading1"/>
      </w:pPr>
      <w:r>
        <w:t>8. Agribusiness Relevance and Deeper Analysis</w:t>
      </w:r>
    </w:p>
    <w:p>
      <w:pPr>
        <w:pStyle w:val="ListBullet"/>
      </w:pPr>
      <w:r>
        <w:t>Supply expansion: identify crop-region combinations with sustained production growth for procurement and processing opportunities.</w:t>
      </w:r>
    </w:p>
    <w:p>
      <w:pPr>
        <w:pStyle w:val="ListBullet"/>
      </w:pPr>
      <w:r>
        <w:t>Productivity gaps: compare district/state yields to identify areas where seeds, inputs, irrigation or advisory services could have higher impact.</w:t>
      </w:r>
    </w:p>
    <w:p>
      <w:pPr>
        <w:pStyle w:val="ListBullet"/>
      </w:pPr>
      <w:r>
        <w:t>Climate risk: combine rainfall variability with crop performance to identify exposed production zones.</w:t>
      </w:r>
    </w:p>
    <w:p>
      <w:pPr>
        <w:pStyle w:val="ListBullet"/>
      </w:pPr>
      <w:r>
        <w:t>Market intelligence: compare production with market arrivals and prices to identify commercialization opportunities.</w:t>
      </w:r>
    </w:p>
    <w:p>
      <w:pPr>
        <w:pStyle w:val="ListBullet"/>
      </w:pPr>
      <w:r>
        <w:t>Infrastructure planning: use production concentration to inform storage, logistics, aggregation and processing priorities.</w:t>
      </w:r>
    </w:p>
    <w:p>
      <w:pPr>
        <w:pStyle w:val="ListBullet"/>
      </w:pPr>
      <w:r>
        <w:t>Crop diversification: identify regions where alternative crops show stronger productivity or market potential.</w:t>
      </w:r>
    </w:p>
    <w:p>
      <w:pPr>
        <w:pStyle w:val="Heading2"/>
      </w:pPr>
      <w:r>
        <w:t>8.1 Example Decision Framework</w:t>
      </w:r>
    </w:p>
    <w:p>
      <w:r>
        <w:t>A practical opportunity score could combine normalized production growth, yield gap, market price/arrival signals and climate risk. For example, a region with high production growth, a large yield gap and stable market demand could be prioritized for productivity-focused interventions. Conversely, a high-output region with strong rainfall volatility may require climate-risk mitigation, irrigation planning or diversified procurement.</w:t>
      </w:r>
    </w:p>
    <w:p>
      <w:pPr>
        <w:pStyle w:val="Heading1"/>
      </w:pPr>
      <w:r>
        <w:t>9. Risks and Limitations</w:t>
      </w:r>
    </w:p>
    <w:p>
      <w:pPr>
        <w:pStyle w:val="ListBullet"/>
      </w:pPr>
      <w:r>
        <w:t>The current dataset is a structured national-level extract rather than the full district-level APY database.</w:t>
      </w:r>
    </w:p>
    <w:p>
      <w:pPr>
        <w:pStyle w:val="ListBullet"/>
      </w:pPr>
      <w:r>
        <w:t>The normal-estimate periods overlap; therefore, percentage changes are medium-term average comparisons rather than annual growth rates.</w:t>
      </w:r>
    </w:p>
    <w:p>
      <w:pPr>
        <w:pStyle w:val="ListBullet"/>
      </w:pPr>
      <w:r>
        <w:t>Descriptive trends cannot prove causality.</w:t>
      </w:r>
    </w:p>
    <w:p>
      <w:pPr>
        <w:pStyle w:val="ListBullet"/>
      </w:pPr>
      <w:r>
        <w:t>Regional differences are hidden in national aggregates.</w:t>
      </w:r>
    </w:p>
    <w:p>
      <w:pPr>
        <w:pStyle w:val="ListBullet"/>
      </w:pPr>
      <w:r>
        <w:t>Weather, irrigation, input use, prices and arrivals are not yet integrated.</w:t>
      </w:r>
    </w:p>
    <w:p>
      <w:pPr>
        <w:pStyle w:val="ListBullet"/>
      </w:pPr>
      <w:r>
        <w:t>Official estimates may be revised, so source version/date should be recorded in future pipelines.</w:t>
      </w:r>
    </w:p>
    <w:p>
      <w:pPr>
        <w:pStyle w:val="Heading1"/>
      </w:pPr>
      <w:r>
        <w:t>10. Expected Outcomes and Success Criteria</w:t>
      </w:r>
    </w:p>
    <w:p>
      <w:pPr>
        <w:pStyle w:val="ListBullet"/>
      </w:pPr>
      <w:r>
        <w:t>A cleaned and documented agricultural dataset suitable for reproducible analysis.</w:t>
      </w:r>
    </w:p>
    <w:p>
      <w:pPr>
        <w:pStyle w:val="ListBullet"/>
      </w:pPr>
      <w:r>
        <w:t>A clear evidence base showing production and yield trends across selected crops.</w:t>
      </w:r>
    </w:p>
    <w:p>
      <w:pPr>
        <w:pStyle w:val="ListBullet"/>
      </w:pPr>
      <w:r>
        <w:t>State/district productivity and opportunity rankings in later phases.</w:t>
      </w:r>
    </w:p>
    <w:p>
      <w:pPr>
        <w:pStyle w:val="ListBullet"/>
      </w:pPr>
      <w:r>
        <w:t>Identification of crop-region combinations associated with higher opportunity or risk.</w:t>
      </w:r>
    </w:p>
    <w:p>
      <w:pPr>
        <w:pStyle w:val="ListBullet"/>
      </w:pPr>
      <w:r>
        <w:t>A concise agribusiness scorecard/dashboard for decision-makers.</w:t>
      </w:r>
    </w:p>
    <w:p>
      <w:pPr>
        <w:pStyle w:val="ListBullet"/>
      </w:pPr>
      <w:r>
        <w:t>Recommendations explicitly linked to data rather than unsupported assumptions.</w:t>
      </w:r>
    </w:p>
    <w:p>
      <w:pPr>
        <w:pStyle w:val="Heading1"/>
      </w:pPr>
      <w:r>
        <w:t>11. Conclusion</w:t>
      </w:r>
    </w:p>
    <w:p>
      <w:r>
        <w:t>The Week 1 analysis establishes a measurable foundation for agricultural and agribusiness intelligence. The evidence shows that total foodgrain production increased 15.2% between the earliest and latest normal-estimate periods in the extract, while foodgrain yield increased 10.7%. Individual crops such as maize, rapeseed &amp; mustard, groundnut and rice also show notable production increases. These results demonstrate why crop-level and productivity-level analysis can provide more useful signals than production totals alone.</w:t>
      </w:r>
    </w:p>
    <w:p>
      <w:r>
        <w:t>The next phase should deepen the analysis geographically and economically. Integrating district-level APY data with rainfall, irrigation and market variables will help determine where production growth is sustainable, where productivity gaps remain, and where agribusiness investment or risk mitigation could be prioritized. The combination of official data, reproducible Python workflows, visual analytics and a defined 33-hour execution plan provides a realistic path from descriptive statistics to actionable agricultural intelligence.</w:t>
      </w:r>
    </w:p>
    <w:p>
      <w:pPr>
        <w:pStyle w:val="Heading1"/>
      </w:pPr>
      <w:r>
        <w:t>12. Official Data References</w:t>
      </w:r>
    </w:p>
    <w:p>
      <w:r>
        <w:t>1. Directorate of Economics &amp; Statistics, Agricultural Statistics at a Glance 2024-25, Table 2.1: Normal Estimates of Area, Production and Yield of Major Crops in India.</w:t>
      </w:r>
    </w:p>
    <w:p>
      <w:r>
        <w:t>2. DES Area, Production &amp; Yield Reports and Query Reports.</w:t>
      </w:r>
    </w:p>
    <w:p>
      <w:r>
        <w:t>3. India Open Government Data platform — district-wise, season-wise crop production statistics.</w:t>
      </w:r>
    </w:p>
    <w:p>
      <w:r>
        <w:t>4. Planned future sources: rainfall/climate datasets and Agmarknet market information.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