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Week 2 Data Collection, Preparation and Cleaning Plan</w:t>
      </w:r>
    </w:p>
    <w:p>
      <w:pPr>
        <w:jc w:val="center"/>
      </w:pPr>
      <w:r>
        <w:rPr>
          <w:b/>
          <w:sz w:val="28"/>
        </w:rPr>
        <w:t>Agricultural &amp; Agribusiness Intelligence in India</w:t>
      </w:r>
    </w:p>
    <w:p>
      <w:pPr>
        <w:jc w:val="center"/>
      </w:pPr>
      <w:r>
        <w:rPr>
          <w:b/>
        </w:rPr>
        <w:t>Junior Data Science Analyst – Agriculture &amp; Agribusiness</w:t>
        <w:br/>
      </w:r>
      <w:r>
        <w:t>Data Collection, Preparation and Cleaning Plan</w:t>
      </w:r>
    </w:p>
    <w:p>
      <w:pPr>
        <w:pStyle w:val="Heading1"/>
      </w:pPr>
      <w:r>
        <w:t>1. Executive Summary</w:t>
      </w:r>
    </w:p>
    <w:p>
      <w:r>
        <w:t>This report defines a reproducible data collection, preparation and cleaning plan for the agricultural and agribusiness intelligence project established in Week 1. The purpose is to build a reliable analytical dataset by combining official crop production statistics with climate and agricultural market information. The planned pipeline prioritizes authoritative public sources, preserves raw data, documents every transformation, validates units and geographic identifiers, and produces a clean dataset suitable for exploratory analysis and later statistical or machine-learning work.</w:t>
      </w:r>
    </w:p>
    <w:p>
      <w:r>
        <w:t>The core data domains are: Area, Production and Yield (APY); rainfall and climate; and agricultural market prices and arrivals. The primary agricultural production source is the Directorate of Economics &amp; Statistics (DES), whose APY reporting supports state, district, crop, season and year dimensions. citeturn0search0turn0search11 Agmarknet is planned for market intelligence because its official documentation describes price and arrival information across agricultural markets. citeturn0search34 FAOSTAT will be used as a secondary cross-check for national crop production, harvested area and yield because its crop dataset covers national annual statistics with documented units and metadata. citeturn0search2</w:t>
      </w:r>
    </w:p>
    <w:p>
      <w:r>
        <w:t>The plan is designed for approximately 33 hours of work. It combines manual inspection of official publications with automated downloads/API requests where stable machine-readable access is available. Web scraping will be treated as a fallback rather than the default, and only used where permitted and technically necessary. The final output of the pipeline will include raw-source archives, cleaned tables, validation reports, a data dictionary, transformation logs and analysis-ready files.</w:t>
      </w:r>
    </w:p>
    <w:p>
      <w:pPr>
        <w:pStyle w:val="Heading1"/>
      </w:pPr>
      <w:r>
        <w:t>2. Project Context and Data Requirements</w:t>
      </w:r>
    </w:p>
    <w:p>
      <w:r>
        <w:t>The Week 1 business question is: Which crops and regions in India show the strongest production and productivity trends, what factors are associated with those differences, and where could agribusiness opportunities or risks be prioritized? Week 2 converts that question into a practical data pipeline.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center"/>
          </w:tcPr>
          <w:p>
            <w:r>
              <w:rPr>
                <w:sz w:val="18"/>
              </w:rPr>
              <w:t>Data domain</w:t>
            </w:r>
          </w:p>
        </w:tc>
        <w:tc>
          <w:tcPr>
            <w:tcW w:type="dxa" w:w="2484"/>
            <w:vAlign w:val="center"/>
          </w:tcPr>
          <w:p>
            <w:r>
              <w:rPr>
                <w:sz w:val="18"/>
              </w:rPr>
              <w:t>Key fields</w:t>
            </w:r>
          </w:p>
        </w:tc>
        <w:tc>
          <w:tcPr>
            <w:tcW w:type="dxa" w:w="2484"/>
            <w:vAlign w:val="center"/>
          </w:tcPr>
          <w:p>
            <w:r>
              <w:rPr>
                <w:sz w:val="18"/>
              </w:rPr>
              <w:t>Granularity</w:t>
            </w:r>
          </w:p>
        </w:tc>
        <w:tc>
          <w:tcPr>
            <w:tcW w:type="dxa" w:w="2484"/>
            <w:vAlign w:val="center"/>
          </w:tcPr>
          <w:p>
            <w:r>
              <w:rPr>
                <w:sz w:val="18"/>
              </w:rPr>
              <w:t>Purpose</w:t>
            </w:r>
          </w:p>
        </w:tc>
      </w:tr>
      <w:tr>
        <w:tc>
          <w:tcPr>
            <w:tcW w:type="dxa" w:w="2484"/>
            <w:vAlign w:val="center"/>
          </w:tcPr>
          <w:p>
            <w:r>
              <w:rPr>
                <w:sz w:val="18"/>
              </w:rPr>
              <w:t>Crop production</w:t>
            </w:r>
          </w:p>
        </w:tc>
        <w:tc>
          <w:tcPr>
            <w:tcW w:type="dxa" w:w="2484"/>
            <w:vAlign w:val="center"/>
          </w:tcPr>
          <w:p>
            <w:r>
              <w:rPr>
                <w:sz w:val="18"/>
              </w:rPr>
              <w:t>State, District, Year, Season, Crop, Area, Production, Yield</w:t>
            </w:r>
          </w:p>
        </w:tc>
        <w:tc>
          <w:tcPr>
            <w:tcW w:type="dxa" w:w="2484"/>
            <w:vAlign w:val="center"/>
          </w:tcPr>
          <w:p>
            <w:r>
              <w:rPr>
                <w:sz w:val="18"/>
              </w:rPr>
              <w:t>District/crop/season/year</w:t>
            </w:r>
          </w:p>
        </w:tc>
        <w:tc>
          <w:tcPr>
            <w:tcW w:type="dxa" w:w="2484"/>
            <w:vAlign w:val="center"/>
          </w:tcPr>
          <w:p>
            <w:r>
              <w:rPr>
                <w:sz w:val="18"/>
              </w:rPr>
              <w:t>Measure supply and productivity</w:t>
            </w:r>
          </w:p>
        </w:tc>
      </w:tr>
      <w:tr>
        <w:tc>
          <w:tcPr>
            <w:tcW w:type="dxa" w:w="2484"/>
            <w:vAlign w:val="center"/>
          </w:tcPr>
          <w:p>
            <w:r>
              <w:rPr>
                <w:sz w:val="18"/>
              </w:rPr>
              <w:t>Climate</w:t>
            </w:r>
          </w:p>
        </w:tc>
        <w:tc>
          <w:tcPr>
            <w:tcW w:type="dxa" w:w="2484"/>
            <w:vAlign w:val="center"/>
          </w:tcPr>
          <w:p>
            <w:r>
              <w:rPr>
                <w:sz w:val="18"/>
              </w:rPr>
              <w:t>Latitude/Longitude or geography, Date/Year, Rainfall, temperature and derived anomalies</w:t>
            </w:r>
          </w:p>
        </w:tc>
        <w:tc>
          <w:tcPr>
            <w:tcW w:type="dxa" w:w="2484"/>
            <w:vAlign w:val="center"/>
          </w:tcPr>
          <w:p>
            <w:r>
              <w:rPr>
                <w:sz w:val="18"/>
              </w:rPr>
              <w:t>Station/grid/geography/time</w:t>
            </w:r>
          </w:p>
        </w:tc>
        <w:tc>
          <w:tcPr>
            <w:tcW w:type="dxa" w:w="2484"/>
            <w:vAlign w:val="center"/>
          </w:tcPr>
          <w:p>
            <w:r>
              <w:rPr>
                <w:sz w:val="18"/>
              </w:rPr>
              <w:t>Assess weather exposure</w:t>
            </w:r>
          </w:p>
        </w:tc>
      </w:tr>
      <w:tr>
        <w:tc>
          <w:tcPr>
            <w:tcW w:type="dxa" w:w="2484"/>
            <w:vAlign w:val="center"/>
          </w:tcPr>
          <w:p>
            <w:r>
              <w:rPr>
                <w:sz w:val="18"/>
              </w:rPr>
              <w:t>Market</w:t>
            </w:r>
          </w:p>
        </w:tc>
        <w:tc>
          <w:tcPr>
            <w:tcW w:type="dxa" w:w="2484"/>
            <w:vAlign w:val="center"/>
          </w:tcPr>
          <w:p>
            <w:r>
              <w:rPr>
                <w:sz w:val="18"/>
              </w:rPr>
              <w:t>State, Market, Commodity, Variety, Date, Arrival, Min Price, Max Price, Modal Price</w:t>
            </w:r>
          </w:p>
        </w:tc>
        <w:tc>
          <w:tcPr>
            <w:tcW w:type="dxa" w:w="2484"/>
            <w:vAlign w:val="center"/>
          </w:tcPr>
          <w:p>
            <w:r>
              <w:rPr>
                <w:sz w:val="18"/>
              </w:rPr>
              <w:t>Market/commodity/day</w:t>
            </w:r>
          </w:p>
        </w:tc>
        <w:tc>
          <w:tcPr>
            <w:tcW w:type="dxa" w:w="2484"/>
            <w:vAlign w:val="center"/>
          </w:tcPr>
          <w:p>
            <w:r>
              <w:rPr>
                <w:sz w:val="18"/>
              </w:rPr>
              <w:t>Assess commercialization and price signals</w:t>
            </w:r>
          </w:p>
        </w:tc>
      </w:tr>
      <w:tr>
        <w:tc>
          <w:tcPr>
            <w:tcW w:type="dxa" w:w="2484"/>
            <w:vAlign w:val="center"/>
          </w:tcPr>
          <w:p>
            <w:r>
              <w:rPr>
                <w:sz w:val="18"/>
              </w:rPr>
              <w:t>Reference data</w:t>
            </w:r>
          </w:p>
        </w:tc>
        <w:tc>
          <w:tcPr>
            <w:tcW w:type="dxa" w:w="2484"/>
            <w:vAlign w:val="center"/>
          </w:tcPr>
          <w:p>
            <w:r>
              <w:rPr>
                <w:sz w:val="18"/>
              </w:rPr>
              <w:t>State/district codes, crop codes, unit definitions</w:t>
            </w:r>
          </w:p>
        </w:tc>
        <w:tc>
          <w:tcPr>
            <w:tcW w:type="dxa" w:w="2484"/>
            <w:vAlign w:val="center"/>
          </w:tcPr>
          <w:p>
            <w:r>
              <w:rPr>
                <w:sz w:val="18"/>
              </w:rPr>
              <w:t>Reference/master</w:t>
            </w:r>
          </w:p>
        </w:tc>
        <w:tc>
          <w:tcPr>
            <w:tcW w:type="dxa" w:w="2484"/>
            <w:vAlign w:val="center"/>
          </w:tcPr>
          <w:p>
            <w:r>
              <w:rPr>
                <w:sz w:val="18"/>
              </w:rPr>
              <w:t>Support joins and standardization</w:t>
            </w:r>
          </w:p>
        </w:tc>
      </w:tr>
    </w:tbl>
    <w:p>
      <w:pPr>
        <w:pStyle w:val="Heading1"/>
      </w:pPr>
      <w:r>
        <w:t>3. Data Source Identification and Selection Criteria</w:t>
      </w:r>
    </w:p>
    <w:p>
      <w:r>
        <w:t>Datasets will be selected using a documented scoring approach rather than simply choosing the first available source. A source should ideally be official or institutionally authoritative, clearly documented, sufficiently complete, machine-readable, geographically relevant to India, and legally reusable.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Criterion</w:t>
            </w:r>
          </w:p>
        </w:tc>
        <w:tc>
          <w:tcPr>
            <w:tcW w:type="dxa" w:w="3312"/>
            <w:vAlign w:val="center"/>
          </w:tcPr>
          <w:p>
            <w:r>
              <w:rPr>
                <w:sz w:val="18"/>
              </w:rPr>
              <w:t>Question</w:t>
            </w:r>
          </w:p>
        </w:tc>
        <w:tc>
          <w:tcPr>
            <w:tcW w:type="dxa" w:w="3312"/>
            <w:vAlign w:val="center"/>
          </w:tcPr>
          <w:p>
            <w:r>
              <w:rPr>
                <w:sz w:val="18"/>
              </w:rPr>
              <w:t>Priority</w:t>
            </w:r>
          </w:p>
        </w:tc>
      </w:tr>
      <w:tr>
        <w:tc>
          <w:tcPr>
            <w:tcW w:type="dxa" w:w="3312"/>
            <w:vAlign w:val="center"/>
          </w:tcPr>
          <w:p>
            <w:r>
              <w:rPr>
                <w:sz w:val="18"/>
              </w:rPr>
              <w:t>Authority</w:t>
            </w:r>
          </w:p>
        </w:tc>
        <w:tc>
          <w:tcPr>
            <w:tcW w:type="dxa" w:w="3312"/>
            <w:vAlign w:val="center"/>
          </w:tcPr>
          <w:p>
            <w:r>
              <w:rPr>
                <w:sz w:val="18"/>
              </w:rPr>
              <w:t>Is the dataset published by a government or recognized statistical institution?</w:t>
            </w:r>
          </w:p>
        </w:tc>
        <w:tc>
          <w:tcPr>
            <w:tcW w:type="dxa" w:w="3312"/>
            <w:vAlign w:val="center"/>
          </w:tcPr>
          <w:p>
            <w:r>
              <w:rPr>
                <w:sz w:val="18"/>
              </w:rPr>
              <w:t>High</w:t>
            </w:r>
          </w:p>
        </w:tc>
      </w:tr>
      <w:tr>
        <w:tc>
          <w:tcPr>
            <w:tcW w:type="dxa" w:w="3312"/>
            <w:vAlign w:val="center"/>
          </w:tcPr>
          <w:p>
            <w:r>
              <w:rPr>
                <w:sz w:val="18"/>
              </w:rPr>
              <w:t>Relevance</w:t>
            </w:r>
          </w:p>
        </w:tc>
        <w:tc>
          <w:tcPr>
            <w:tcW w:type="dxa" w:w="3312"/>
            <w:vAlign w:val="center"/>
          </w:tcPr>
          <w:p>
            <w:r>
              <w:rPr>
                <w:sz w:val="18"/>
              </w:rPr>
              <w:t>Does it contain variables needed for the business question?</w:t>
            </w:r>
          </w:p>
        </w:tc>
        <w:tc>
          <w:tcPr>
            <w:tcW w:type="dxa" w:w="3312"/>
            <w:vAlign w:val="center"/>
          </w:tcPr>
          <w:p>
            <w:r>
              <w:rPr>
                <w:sz w:val="18"/>
              </w:rPr>
              <w:t>High</w:t>
            </w:r>
          </w:p>
        </w:tc>
      </w:tr>
      <w:tr>
        <w:tc>
          <w:tcPr>
            <w:tcW w:type="dxa" w:w="3312"/>
            <w:vAlign w:val="center"/>
          </w:tcPr>
          <w:p>
            <w:r>
              <w:rPr>
                <w:sz w:val="18"/>
              </w:rPr>
              <w:t>Granularity</w:t>
            </w:r>
          </w:p>
        </w:tc>
        <w:tc>
          <w:tcPr>
            <w:tcW w:type="dxa" w:w="3312"/>
            <w:vAlign w:val="center"/>
          </w:tcPr>
          <w:p>
            <w:r>
              <w:rPr>
                <w:sz w:val="18"/>
              </w:rPr>
              <w:t>Does it support state/district/crop/market analysis?</w:t>
            </w:r>
          </w:p>
        </w:tc>
        <w:tc>
          <w:tcPr>
            <w:tcW w:type="dxa" w:w="3312"/>
            <w:vAlign w:val="center"/>
          </w:tcPr>
          <w:p>
            <w:r>
              <w:rPr>
                <w:sz w:val="18"/>
              </w:rPr>
              <w:t>High</w:t>
            </w:r>
          </w:p>
        </w:tc>
      </w:tr>
      <w:tr>
        <w:tc>
          <w:tcPr>
            <w:tcW w:type="dxa" w:w="3312"/>
            <w:vAlign w:val="center"/>
          </w:tcPr>
          <w:p>
            <w:r>
              <w:rPr>
                <w:sz w:val="18"/>
              </w:rPr>
              <w:t>Time coverage</w:t>
            </w:r>
          </w:p>
        </w:tc>
        <w:tc>
          <w:tcPr>
            <w:tcW w:type="dxa" w:w="3312"/>
            <w:vAlign w:val="center"/>
          </w:tcPr>
          <w:p>
            <w:r>
              <w:rPr>
                <w:sz w:val="18"/>
              </w:rPr>
              <w:t>Does it cover enough years for trend analysis?</w:t>
            </w:r>
          </w:p>
        </w:tc>
        <w:tc>
          <w:tcPr>
            <w:tcW w:type="dxa" w:w="3312"/>
            <w:vAlign w:val="center"/>
          </w:tcPr>
          <w:p>
            <w:r>
              <w:rPr>
                <w:sz w:val="18"/>
              </w:rPr>
              <w:t>High</w:t>
            </w:r>
          </w:p>
        </w:tc>
      </w:tr>
      <w:tr>
        <w:tc>
          <w:tcPr>
            <w:tcW w:type="dxa" w:w="3312"/>
            <w:vAlign w:val="center"/>
          </w:tcPr>
          <w:p>
            <w:r>
              <w:rPr>
                <w:sz w:val="18"/>
              </w:rPr>
              <w:t>Accessibility</w:t>
            </w:r>
          </w:p>
        </w:tc>
        <w:tc>
          <w:tcPr>
            <w:tcW w:type="dxa" w:w="3312"/>
            <w:vAlign w:val="center"/>
          </w:tcPr>
          <w:p>
            <w:r>
              <w:rPr>
                <w:sz w:val="18"/>
              </w:rPr>
              <w:t>Can data be downloaded or retrieved programmatically?</w:t>
            </w:r>
          </w:p>
        </w:tc>
        <w:tc>
          <w:tcPr>
            <w:tcW w:type="dxa" w:w="3312"/>
            <w:vAlign w:val="center"/>
          </w:tcPr>
          <w:p>
            <w:r>
              <w:rPr>
                <w:sz w:val="18"/>
              </w:rPr>
              <w:t>High</w:t>
            </w:r>
          </w:p>
        </w:tc>
      </w:tr>
      <w:tr>
        <w:tc>
          <w:tcPr>
            <w:tcW w:type="dxa" w:w="3312"/>
            <w:vAlign w:val="center"/>
          </w:tcPr>
          <w:p>
            <w:r>
              <w:rPr>
                <w:sz w:val="18"/>
              </w:rPr>
              <w:t>Metadata</w:t>
            </w:r>
          </w:p>
        </w:tc>
        <w:tc>
          <w:tcPr>
            <w:tcW w:type="dxa" w:w="3312"/>
            <w:vAlign w:val="center"/>
          </w:tcPr>
          <w:p>
            <w:r>
              <w:rPr>
                <w:sz w:val="18"/>
              </w:rPr>
              <w:t>Are units, definitions and revisions documented?</w:t>
            </w:r>
          </w:p>
        </w:tc>
        <w:tc>
          <w:tcPr>
            <w:tcW w:type="dxa" w:w="3312"/>
            <w:vAlign w:val="center"/>
          </w:tcPr>
          <w:p>
            <w:r>
              <w:rPr>
                <w:sz w:val="18"/>
              </w:rPr>
              <w:t>High</w:t>
            </w:r>
          </w:p>
        </w:tc>
      </w:tr>
      <w:tr>
        <w:tc>
          <w:tcPr>
            <w:tcW w:type="dxa" w:w="3312"/>
            <w:vAlign w:val="center"/>
          </w:tcPr>
          <w:p>
            <w:r>
              <w:rPr>
                <w:sz w:val="18"/>
              </w:rPr>
              <w:t>Quality</w:t>
            </w:r>
          </w:p>
        </w:tc>
        <w:tc>
          <w:tcPr>
            <w:tcW w:type="dxa" w:w="3312"/>
            <w:vAlign w:val="center"/>
          </w:tcPr>
          <w:p>
            <w:r>
              <w:rPr>
                <w:sz w:val="18"/>
              </w:rPr>
              <w:t>Are missing values, validation procedures or revisions documented?</w:t>
            </w:r>
          </w:p>
        </w:tc>
        <w:tc>
          <w:tcPr>
            <w:tcW w:type="dxa" w:w="3312"/>
            <w:vAlign w:val="center"/>
          </w:tcPr>
          <w:p>
            <w:r>
              <w:rPr>
                <w:sz w:val="18"/>
              </w:rPr>
              <w:t>High</w:t>
            </w:r>
          </w:p>
        </w:tc>
      </w:tr>
      <w:tr>
        <w:tc>
          <w:tcPr>
            <w:tcW w:type="dxa" w:w="3312"/>
            <w:vAlign w:val="center"/>
          </w:tcPr>
          <w:p>
            <w:r>
              <w:rPr>
                <w:sz w:val="18"/>
              </w:rPr>
              <w:t>Reproducibility</w:t>
            </w:r>
          </w:p>
        </w:tc>
        <w:tc>
          <w:tcPr>
            <w:tcW w:type="dxa" w:w="3312"/>
            <w:vAlign w:val="center"/>
          </w:tcPr>
          <w:p>
            <w:r>
              <w:rPr>
                <w:sz w:val="18"/>
              </w:rPr>
              <w:t>Can another analyst retrieve the same or equivalent data?</w:t>
            </w:r>
          </w:p>
        </w:tc>
        <w:tc>
          <w:tcPr>
            <w:tcW w:type="dxa" w:w="3312"/>
            <w:vAlign w:val="center"/>
          </w:tcPr>
          <w:p>
            <w:r>
              <w:rPr>
                <w:sz w:val="18"/>
              </w:rPr>
              <w:t>High</w:t>
            </w:r>
          </w:p>
        </w:tc>
      </w:tr>
      <w:tr>
        <w:tc>
          <w:tcPr>
            <w:tcW w:type="dxa" w:w="3312"/>
            <w:vAlign w:val="center"/>
          </w:tcPr>
          <w:p>
            <w:r>
              <w:rPr>
                <w:sz w:val="18"/>
              </w:rPr>
              <w:t>License/usage</w:t>
            </w:r>
          </w:p>
        </w:tc>
        <w:tc>
          <w:tcPr>
            <w:tcW w:type="dxa" w:w="3312"/>
            <w:vAlign w:val="center"/>
          </w:tcPr>
          <w:p>
            <w:r>
              <w:rPr>
                <w:sz w:val="18"/>
              </w:rPr>
              <w:t>Are terms of use compatible with the project?</w:t>
            </w:r>
          </w:p>
        </w:tc>
        <w:tc>
          <w:tcPr>
            <w:tcW w:type="dxa" w:w="3312"/>
            <w:vAlign w:val="center"/>
          </w:tcPr>
          <w:p>
            <w:r>
              <w:rPr>
                <w:sz w:val="18"/>
              </w:rPr>
              <w:t>Medium</w:t>
            </w:r>
          </w:p>
        </w:tc>
      </w:tr>
    </w:tbl>
    <w:p>
      <w:pPr>
        <w:pStyle w:val="Heading1"/>
      </w:pPr>
      <w:r>
        <w:t>4. Potential Data Sources</w:t>
      </w:r>
    </w:p>
    <w:p>
      <w:pPr>
        <w:pStyle w:val="Heading2"/>
      </w:pPr>
      <w:r>
        <w:t>4.1 Directorate of Economics &amp; Statistics (DES) — APY</w:t>
      </w:r>
    </w:p>
    <w:p>
      <w:r>
        <w:t>DES is the primary source for crop area, production and yield. Its official APY report interface provides filters for state, district, crop, season and year, making it directly aligned with the proposed regional analysis. DES also states that its statistical work includes compilation and dissemination of district-wise Area, Production and Yield statistics. citeturn0search0turn0search11</w:t>
      </w:r>
    </w:p>
    <w:p>
      <w:r>
        <w:t>Collection approach: use official downloadable reports/query outputs where available; retain the original file or report; record extraction date, selected filters, units and source URL; then convert the retrieved data into a standardized tabular format.</w:t>
      </w:r>
    </w:p>
    <w:p>
      <w:r>
        <w:t>Key cleaning risks: changing crop names, state/district spelling differences, mixed units, revised estimates, missing observations and differences between annual estimates and normal estimates.</w:t>
      </w:r>
    </w:p>
    <w:p>
      <w:pPr>
        <w:pStyle w:val="Heading2"/>
      </w:pPr>
      <w:r>
        <w:t>4.2 Agmarknet — Agricultural Market Prices and Arrivals</w:t>
      </w:r>
    </w:p>
    <w:p>
      <w:r>
        <w:t>Agmarknet is planned as the principal market-data source. Official documentation describes current market prices and arrivals for hundreds of commodities and thousands of varieties across agricultural markets, making it useful for linking production with commercialization. citeturn0search34</w:t>
      </w:r>
    </w:p>
    <w:p>
      <w:r>
        <w:t>Collection approach: prefer structured official data/download mechanisms when available. If a stable API or bulk download is unavailable, use carefully controlled extraction from public pages, subject to site terms and technical constraints. Daily observations can be aggregated to monthly or seasonal measures after validation.</w:t>
      </w:r>
    </w:p>
    <w:p>
      <w:r>
        <w:t>Important fields include market, commodity, variety, date, arrivals, minimum price, maximum price and modal price. Agmarknet documentation also describes validation of market price data, so validation flags and unusual records should be retained rather than silently discarded. citeturn0search36</w:t>
      </w:r>
    </w:p>
    <w:p>
      <w:pPr>
        <w:pStyle w:val="Heading2"/>
      </w:pPr>
      <w:r>
        <w:t>4.3 FAOSTAT — Cross-Validation Dataset</w:t>
      </w:r>
    </w:p>
    <w:p>
      <w:r>
        <w:t>FAOSTAT provides national annual crop statistics for harvested area, production and yield and documents its units and data lineage. The current catalog describes coverage across more than 245 countries and territories and provides crop statistics in area harvested, production quantity and yield. citeturn0search2</w:t>
      </w:r>
    </w:p>
    <w:p>
      <w:r>
        <w:t>Collection approach: download the relevant crop dataset in CSV form and filter for India. Use it primarily for national-level validation and international comparability rather than replacing the more detailed India-specific DES data.</w:t>
      </w:r>
    </w:p>
    <w:p>
      <w:r>
        <w:t>Example validation rule: compare India-level rice production from DES against FAOSTAT for the same reference year, after confirming definitions and units. Differences should be investigated rather than automatically treated as errors because sources can use different estimation procedures, revisions or product definitions.</w:t>
      </w:r>
    </w:p>
    <w:p>
      <w:pPr>
        <w:pStyle w:val="Heading2"/>
      </w:pPr>
      <w:r>
        <w:t>4.4 Rainfall and Climate Data — Planned Integration</w:t>
      </w:r>
    </w:p>
    <w:p>
      <w:r>
        <w:t>Climate variables will be added after the core APY pipeline is stable. The preferred approach is to use a documented rainfall dataset or climate API with consistent geographic and temporal coverage. Climate observations will be aggregated to the same geography and agricultural season used by the APY data.</w:t>
      </w:r>
    </w:p>
    <w:p>
      <w:r>
        <w:t>Potential derived variables include annual rainfall, seasonal rainfall, rainfall deviation from a baseline, number of heavy-rainfall days, temperature averages and growing-season anomalies. The final choice will depend on coverage, resolution and reproducibility.</w:t>
      </w:r>
    </w:p>
    <w:p>
      <w:pPr>
        <w:pStyle w:val="Heading1"/>
      </w:pPr>
      <w:r>
        <w:t>5. Data Collection Strategy</w:t>
      </w:r>
    </w:p>
    <w:p>
      <w:r>
        <w:t>The collection strategy follows a source-priority hierarchy:</w:t>
      </w:r>
    </w:p>
    <w:p>
      <w:pPr>
        <w:pStyle w:val="ListBullet"/>
      </w:pPr>
      <w:r>
        <w:t>1. Official API or machine-readable download — preferred for repeatability.</w:t>
      </w:r>
    </w:p>
    <w:p>
      <w:pPr>
        <w:pStyle w:val="ListBullet"/>
      </w:pPr>
      <w:r>
        <w:t>2. Official CSV/Excel/bulk file — preferred when an API is unavailable.</w:t>
      </w:r>
    </w:p>
    <w:p>
      <w:pPr>
        <w:pStyle w:val="ListBullet"/>
      </w:pPr>
      <w:r>
        <w:t>3. Official report/table extraction — used for published statistics that are not available in machine-readable form.</w:t>
      </w:r>
    </w:p>
    <w:p>
      <w:pPr>
        <w:pStyle w:val="ListBullet"/>
      </w:pPr>
      <w:r>
        <w:t>4. Web scraping — fallback only when permitted, stable and necessary; respect robots.txt, terms of use, rate limits and attribution requirements.</w:t>
      </w:r>
    </w:p>
    <w:p>
      <w:pPr>
        <w:pStyle w:val="ListBullet"/>
      </w:pPr>
      <w:r>
        <w:t>5. Manual extraction — limited to small, authoritative tables where automation would create more risk than value.</w:t>
      </w:r>
    </w:p>
    <w:p>
      <w:pPr>
        <w:pStyle w:val="Heading2"/>
      </w:pPr>
      <w:r>
        <w:t>5.1 Collection Metadata to Record</w:t>
      </w:r>
    </w:p>
    <w:p>
      <w:pPr>
        <w:pStyle w:val="ListBullet"/>
      </w:pPr>
      <w:r>
        <w:t>Source name and owner</w:t>
      </w:r>
    </w:p>
    <w:p>
      <w:pPr>
        <w:pStyle w:val="ListBullet"/>
      </w:pPr>
      <w:r>
        <w:t>Source URL/API endpoint</w:t>
      </w:r>
    </w:p>
    <w:p>
      <w:pPr>
        <w:pStyle w:val="ListBullet"/>
      </w:pPr>
      <w:r>
        <w:t>Dataset title/version</w:t>
      </w:r>
    </w:p>
    <w:p>
      <w:pPr>
        <w:pStyle w:val="ListBullet"/>
      </w:pPr>
      <w:r>
        <w:t>Access date</w:t>
      </w:r>
    </w:p>
    <w:p>
      <w:pPr>
        <w:pStyle w:val="ListBullet"/>
      </w:pPr>
      <w:r>
        <w:t>Download date</w:t>
      </w:r>
    </w:p>
    <w:p>
      <w:pPr>
        <w:pStyle w:val="ListBullet"/>
      </w:pPr>
      <w:r>
        <w:t>Selected filters</w:t>
      </w:r>
    </w:p>
    <w:p>
      <w:pPr>
        <w:pStyle w:val="ListBullet"/>
      </w:pPr>
      <w:r>
        <w:t>Geographic scope</w:t>
      </w:r>
    </w:p>
    <w:p>
      <w:pPr>
        <w:pStyle w:val="ListBullet"/>
      </w:pPr>
      <w:r>
        <w:t>Time range</w:t>
      </w:r>
    </w:p>
    <w:p>
      <w:pPr>
        <w:pStyle w:val="ListBullet"/>
      </w:pPr>
      <w:r>
        <w:t>Units</w:t>
      </w:r>
    </w:p>
    <w:p>
      <w:pPr>
        <w:pStyle w:val="ListBullet"/>
      </w:pPr>
      <w:r>
        <w:t>File format</w:t>
      </w:r>
    </w:p>
    <w:p>
      <w:pPr>
        <w:pStyle w:val="ListBullet"/>
      </w:pPr>
      <w:r>
        <w:t>Revision/version information</w:t>
      </w:r>
    </w:p>
    <w:p>
      <w:pPr>
        <w:pStyle w:val="ListBullet"/>
      </w:pPr>
      <w:r>
        <w:t>License/usage conditions</w:t>
      </w:r>
    </w:p>
    <w:p>
      <w:pPr>
        <w:pStyle w:val="Heading1"/>
      </w:pPr>
      <w:r>
        <w:t>5.2 Raw Data Preservation</w:t>
      </w:r>
    </w:p>
    <w:p>
      <w:r>
        <w:t>Every source will be stored in a raw-data layer without overwriting the original. A source register will record the file name, checksum where practical, date retrieved and transformation script used. Cleaned data will be written to a separate processed-data layer. This separation allows errors to be traced back to the original source.</w:t>
      </w:r>
    </w:p>
    <w:p>
      <w:pPr>
        <w:pStyle w:val="Heading1"/>
      </w:pPr>
      <w:r>
        <w:t>6. Data Cleaning and Quality-Control Pipeline</w:t>
      </w:r>
    </w:p>
    <w:p>
      <w:r>
        <w:t>The cleaning process will be executed in a fixed sequence so that the workflow can be reproduced.</w:t>
      </w:r>
    </w:p>
    <w:p>
      <w:pPr>
        <w:pStyle w:val="ListBullet"/>
      </w:pPr>
      <w:r>
        <w:t>1. Load raw files and inspect schema.</w:t>
      </w:r>
    </w:p>
    <w:p>
      <w:pPr>
        <w:pStyle w:val="ListBullet"/>
      </w:pPr>
      <w:r>
        <w:t>2. Standardize column names to snake_case.</w:t>
      </w:r>
    </w:p>
    <w:p>
      <w:pPr>
        <w:pStyle w:val="ListBullet"/>
      </w:pPr>
      <w:r>
        <w:t>3. Validate required columns and data types.</w:t>
      </w:r>
    </w:p>
    <w:p>
      <w:pPr>
        <w:pStyle w:val="ListBullet"/>
      </w:pPr>
      <w:r>
        <w:t>4. Convert numeric fields from text to numeric types.</w:t>
      </w:r>
    </w:p>
    <w:p>
      <w:pPr>
        <w:pStyle w:val="ListBullet"/>
      </w:pPr>
      <w:r>
        <w:t>5. Standardize dates, years and agricultural seasons.</w:t>
      </w:r>
    </w:p>
    <w:p>
      <w:pPr>
        <w:pStyle w:val="ListBullet"/>
      </w:pPr>
      <w:r>
        <w:t>6. Standardize state, district, crop, commodity and market names using reference tables.</w:t>
      </w:r>
    </w:p>
    <w:p>
      <w:pPr>
        <w:pStyle w:val="ListBullet"/>
      </w:pPr>
      <w:r>
        <w:t>7. Detect and remove exact duplicates; investigate near-duplicates.</w:t>
      </w:r>
    </w:p>
    <w:p>
      <w:pPr>
        <w:pStyle w:val="ListBullet"/>
      </w:pPr>
      <w:r>
        <w:t>8. Profile missing values by field, geography, crop and time.</w:t>
      </w:r>
    </w:p>
    <w:p>
      <w:pPr>
        <w:pStyle w:val="ListBullet"/>
      </w:pPr>
      <w:r>
        <w:t>9. Validate units and convert to project-standard units.</w:t>
      </w:r>
    </w:p>
    <w:p>
      <w:pPr>
        <w:pStyle w:val="ListBullet"/>
      </w:pPr>
      <w:r>
        <w:t>10. Check numerical ranges and domain rules.</w:t>
      </w:r>
    </w:p>
    <w:p>
      <w:pPr>
        <w:pStyle w:val="ListBullet"/>
      </w:pPr>
      <w:r>
        <w:t>11. Detect potential outliers and investigate them against source records.</w:t>
      </w:r>
    </w:p>
    <w:p>
      <w:pPr>
        <w:pStyle w:val="ListBullet"/>
      </w:pPr>
      <w:r>
        <w:t>12. Validate geographic identifiers and joins.</w:t>
      </w:r>
    </w:p>
    <w:p>
      <w:pPr>
        <w:pStyle w:val="ListBullet"/>
      </w:pPr>
      <w:r>
        <w:t>13. Cross-check selected totals against official publications or secondary sources.</w:t>
      </w:r>
    </w:p>
    <w:p>
      <w:pPr>
        <w:pStyle w:val="ListBullet"/>
      </w:pPr>
      <w:r>
        <w:t>14. Save cleaned data and a data-quality report.</w:t>
      </w:r>
    </w:p>
    <w:p>
      <w:pPr>
        <w:pStyle w:val="Heading2"/>
      </w:pPr>
      <w:r>
        <w:t>6.1 Missing-Value Strategy</w:t>
      </w:r>
    </w:p>
    <w:p>
      <w:r>
        <w:t>Missing values will not be treated with a single blanket rule. The action will depend on why the value is missing.</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Situation</w:t>
            </w:r>
          </w:p>
        </w:tc>
        <w:tc>
          <w:tcPr>
            <w:tcW w:type="dxa" w:w="3312"/>
            <w:vAlign w:val="center"/>
          </w:tcPr>
          <w:p>
            <w:r>
              <w:rPr>
                <w:sz w:val="18"/>
              </w:rPr>
              <w:t>Action</w:t>
            </w:r>
          </w:p>
        </w:tc>
        <w:tc>
          <w:tcPr>
            <w:tcW w:type="dxa" w:w="3312"/>
            <w:vAlign w:val="center"/>
          </w:tcPr>
          <w:p>
            <w:r>
              <w:rPr>
                <w:sz w:val="18"/>
              </w:rPr>
              <w:t>Reason</w:t>
            </w:r>
          </w:p>
        </w:tc>
      </w:tr>
      <w:tr>
        <w:tc>
          <w:tcPr>
            <w:tcW w:type="dxa" w:w="3312"/>
            <w:vAlign w:val="center"/>
          </w:tcPr>
          <w:p>
            <w:r>
              <w:rPr>
                <w:sz w:val="18"/>
              </w:rPr>
              <w:t>Structural missingness</w:t>
            </w:r>
          </w:p>
        </w:tc>
        <w:tc>
          <w:tcPr>
            <w:tcW w:type="dxa" w:w="3312"/>
            <w:vAlign w:val="center"/>
          </w:tcPr>
          <w:p>
            <w:r>
              <w:rPr>
                <w:sz w:val="18"/>
              </w:rPr>
              <w:t>Keep as missing and document</w:t>
            </w:r>
          </w:p>
        </w:tc>
        <w:tc>
          <w:tcPr>
            <w:tcW w:type="dxa" w:w="3312"/>
            <w:vAlign w:val="center"/>
          </w:tcPr>
          <w:p>
            <w:r>
              <w:rPr>
                <w:sz w:val="18"/>
              </w:rPr>
              <w:t>A crop may genuinely not be reported for a geography/season</w:t>
            </w:r>
          </w:p>
        </w:tc>
      </w:tr>
      <w:tr>
        <w:tc>
          <w:tcPr>
            <w:tcW w:type="dxa" w:w="3312"/>
            <w:vAlign w:val="center"/>
          </w:tcPr>
          <w:p>
            <w:r>
              <w:rPr>
                <w:sz w:val="18"/>
              </w:rPr>
              <w:t>Small isolated climate gap</w:t>
            </w:r>
          </w:p>
        </w:tc>
        <w:tc>
          <w:tcPr>
            <w:tcW w:type="dxa" w:w="3312"/>
            <w:vAlign w:val="center"/>
          </w:tcPr>
          <w:p>
            <w:r>
              <w:rPr>
                <w:sz w:val="18"/>
              </w:rPr>
              <w:t>Consider validated interpolation or source substitution</w:t>
            </w:r>
          </w:p>
        </w:tc>
        <w:tc>
          <w:tcPr>
            <w:tcW w:type="dxa" w:w="3312"/>
            <w:vAlign w:val="center"/>
          </w:tcPr>
          <w:p>
            <w:r>
              <w:rPr>
                <w:sz w:val="18"/>
              </w:rPr>
              <w:t>Only when temporal/geographic assumptions are defensible</w:t>
            </w:r>
          </w:p>
        </w:tc>
      </w:tr>
      <w:tr>
        <w:tc>
          <w:tcPr>
            <w:tcW w:type="dxa" w:w="3312"/>
            <w:vAlign w:val="center"/>
          </w:tcPr>
          <w:p>
            <w:r>
              <w:rPr>
                <w:sz w:val="18"/>
              </w:rPr>
              <w:t>Missing production/yield</w:t>
            </w:r>
          </w:p>
        </w:tc>
        <w:tc>
          <w:tcPr>
            <w:tcW w:type="dxa" w:w="3312"/>
            <w:vAlign w:val="center"/>
          </w:tcPr>
          <w:p>
            <w:r>
              <w:rPr>
                <w:sz w:val="18"/>
              </w:rPr>
              <w:t>Do not automatically impute for reporting analysis</w:t>
            </w:r>
          </w:p>
        </w:tc>
        <w:tc>
          <w:tcPr>
            <w:tcW w:type="dxa" w:w="3312"/>
            <w:vAlign w:val="center"/>
          </w:tcPr>
          <w:p>
            <w:r>
              <w:rPr>
                <w:sz w:val="18"/>
              </w:rPr>
              <w:t>Imputation could create false agricultural output</w:t>
            </w:r>
          </w:p>
        </w:tc>
      </w:tr>
      <w:tr>
        <w:tc>
          <w:tcPr>
            <w:tcW w:type="dxa" w:w="3312"/>
            <w:vAlign w:val="center"/>
          </w:tcPr>
          <w:p>
            <w:r>
              <w:rPr>
                <w:sz w:val="18"/>
              </w:rPr>
              <w:t>Missing market price</w:t>
            </w:r>
          </w:p>
        </w:tc>
        <w:tc>
          <w:tcPr>
            <w:tcW w:type="dxa" w:w="3312"/>
            <w:vAlign w:val="center"/>
          </w:tcPr>
          <w:p>
            <w:r>
              <w:rPr>
                <w:sz w:val="18"/>
              </w:rPr>
              <w:t>Use another valid observation only under a documented aggregation rule</w:t>
            </w:r>
          </w:p>
        </w:tc>
        <w:tc>
          <w:tcPr>
            <w:tcW w:type="dxa" w:w="3312"/>
            <w:vAlign w:val="center"/>
          </w:tcPr>
          <w:p>
            <w:r>
              <w:rPr>
                <w:sz w:val="18"/>
              </w:rPr>
              <w:t>Avoid manufacturing daily prices</w:t>
            </w:r>
          </w:p>
        </w:tc>
      </w:tr>
      <w:tr>
        <w:tc>
          <w:tcPr>
            <w:tcW w:type="dxa" w:w="3312"/>
            <w:vAlign w:val="center"/>
          </w:tcPr>
          <w:p>
            <w:r>
              <w:rPr>
                <w:sz w:val="18"/>
              </w:rPr>
              <w:t>Missing reference code</w:t>
            </w:r>
          </w:p>
        </w:tc>
        <w:tc>
          <w:tcPr>
            <w:tcW w:type="dxa" w:w="3312"/>
            <w:vAlign w:val="center"/>
          </w:tcPr>
          <w:p>
            <w:r>
              <w:rPr>
                <w:sz w:val="18"/>
              </w:rPr>
              <w:t>Resolve through master-data mapping</w:t>
            </w:r>
          </w:p>
        </w:tc>
        <w:tc>
          <w:tcPr>
            <w:tcW w:type="dxa" w:w="3312"/>
            <w:vAlign w:val="center"/>
          </w:tcPr>
          <w:p>
            <w:r>
              <w:rPr>
                <w:sz w:val="18"/>
              </w:rPr>
              <w:t>Keys are required for reliable joins</w:t>
            </w:r>
          </w:p>
        </w:tc>
      </w:tr>
      <w:tr>
        <w:tc>
          <w:tcPr>
            <w:tcW w:type="dxa" w:w="3312"/>
            <w:vAlign w:val="center"/>
          </w:tcPr>
          <w:p>
            <w:r>
              <w:rPr>
                <w:sz w:val="18"/>
              </w:rPr>
              <w:t>Large systematic gaps</w:t>
            </w:r>
          </w:p>
        </w:tc>
        <w:tc>
          <w:tcPr>
            <w:tcW w:type="dxa" w:w="3312"/>
            <w:vAlign w:val="center"/>
          </w:tcPr>
          <w:p>
            <w:r>
              <w:rPr>
                <w:sz w:val="18"/>
              </w:rPr>
              <w:t>Flag dataset/geography for exclusion or separate analysis</w:t>
            </w:r>
          </w:p>
        </w:tc>
        <w:tc>
          <w:tcPr>
            <w:tcW w:type="dxa" w:w="3312"/>
            <w:vAlign w:val="center"/>
          </w:tcPr>
          <w:p>
            <w:r>
              <w:rPr>
                <w:sz w:val="18"/>
              </w:rPr>
              <w:t>Prevents biased conclusions</w:t>
            </w:r>
          </w:p>
        </w:tc>
      </w:tr>
    </w:tbl>
    <w:p>
      <w:pPr>
        <w:pStyle w:val="Heading2"/>
      </w:pPr>
      <w:r>
        <w:t>6.2 Duplicate Handling</w:t>
      </w:r>
    </w:p>
    <w:p>
      <w:r>
        <w:t>Exact duplicate rows will be identified using all fields. Potential duplicates will also be checked using business keys such as state + district + year + season + crop for APY data, and market + commodity + variety + date for market data. If multiple records exist for a business key, the source documentation will be checked before choosing an aggregation or correction rule.</w:t>
      </w:r>
    </w:p>
    <w:p>
      <w:pPr>
        <w:pStyle w:val="Heading2"/>
      </w:pPr>
      <w:r>
        <w:t>6.3 Unit and Range Validation</w:t>
      </w:r>
    </w:p>
    <w:p>
      <w:r>
        <w:t>Units will be standardized before merging datasets. Examples include converting area to hectares or million hectares, production to tonnes or million tonnes, and market prices to a consistent currency/weight basis. A range check will flag negative area, negative production, impossible yields, invalid dates and abnormal market values. Flagged records will be investigated rather than automatically deleted.</w:t>
      </w:r>
    </w:p>
    <w:p>
      <w:r>
        <w:t>For APY data, a useful consistency check is the relationship between area, production and yield. When compatible units are confirmed, an approximate relationship is Production = Area × Yield. Differences beyond an agreed tolerance can identify unit mismatches, transcription errors or differing definitions.</w:t>
      </w:r>
    </w:p>
    <w:p>
      <w:pPr>
        <w:pStyle w:val="Heading1"/>
      </w:pPr>
      <w:r>
        <w:t>7. Standardization and Transformation</w:t>
      </w:r>
    </w:p>
    <w:p>
      <w:pPr>
        <w:pStyle w:val="Heading2"/>
      </w:pPr>
      <w:r>
        <w:t>7.1 Column and Name Standardization</w:t>
      </w:r>
    </w:p>
    <w:p>
      <w:r>
        <w:t>Column names will use consistent snake_case conventions such as crop, state, district, year, season, area_ha, production_tonnes and yield_kg_ha. Crop and geography names will be mapped through controlled dictionaries rather than ad-hoc text replacement.</w:t>
      </w:r>
    </w:p>
    <w:p>
      <w:pPr>
        <w:pStyle w:val="Heading2"/>
      </w:pPr>
      <w:r>
        <w:t>7.2 Date and Season Standardization</w:t>
      </w:r>
    </w:p>
    <w:p>
      <w:r>
        <w:t>Dates will be stored in ISO-compatible date format where applicable. Agricultural years such as 2024-25 will be stored in a consistent season-year representation. Kharif, Rabi and Summer labels will be standardized using a controlled vocabulary.</w:t>
      </w:r>
    </w:p>
    <w:p>
      <w:pPr>
        <w:pStyle w:val="Heading2"/>
      </w:pPr>
      <w:r>
        <w:t>7.3 Aggregation</w:t>
      </w:r>
    </w:p>
    <w:p>
      <w:r>
        <w:t>Daily market observations may be aggregated into monthly or seasonal indicators. District crop observations can be aggregated to state-year or state-season levels when needed. Aggregation rules will be documented because sums, means, weighted means and medians are not interchangeable.</w:t>
      </w:r>
    </w:p>
    <w:p>
      <w:pPr>
        <w:pStyle w:val="Heading2"/>
      </w:pPr>
      <w:r>
        <w:t>7.4 Derived Features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Feature</w:t>
            </w:r>
          </w:p>
        </w:tc>
        <w:tc>
          <w:tcPr>
            <w:tcW w:type="dxa" w:w="3312"/>
            <w:vAlign w:val="center"/>
          </w:tcPr>
          <w:p>
            <w:r>
              <w:rPr>
                <w:sz w:val="18"/>
              </w:rPr>
              <w:t>Example calculation</w:t>
            </w:r>
          </w:p>
        </w:tc>
        <w:tc>
          <w:tcPr>
            <w:tcW w:type="dxa" w:w="3312"/>
            <w:vAlign w:val="center"/>
          </w:tcPr>
          <w:p>
            <w:r>
              <w:rPr>
                <w:sz w:val="18"/>
              </w:rPr>
              <w:t>Business use</w:t>
            </w:r>
          </w:p>
        </w:tc>
      </w:tr>
      <w:tr>
        <w:tc>
          <w:tcPr>
            <w:tcW w:type="dxa" w:w="3312"/>
            <w:vAlign w:val="center"/>
          </w:tcPr>
          <w:p>
            <w:r>
              <w:rPr>
                <w:sz w:val="18"/>
              </w:rPr>
              <w:t>Production growth %</w:t>
            </w:r>
          </w:p>
        </w:tc>
        <w:tc>
          <w:tcPr>
            <w:tcW w:type="dxa" w:w="3312"/>
            <w:vAlign w:val="center"/>
          </w:tcPr>
          <w:p>
            <w:r>
              <w:rPr>
                <w:sz w:val="18"/>
              </w:rPr>
              <w:t>(Current production − previous production) / previous production × 100</w:t>
            </w:r>
          </w:p>
        </w:tc>
        <w:tc>
          <w:tcPr>
            <w:tcW w:type="dxa" w:w="3312"/>
            <w:vAlign w:val="center"/>
          </w:tcPr>
          <w:p>
            <w:r>
              <w:rPr>
                <w:sz w:val="18"/>
              </w:rPr>
              <w:t>Identify expanding supply</w:t>
            </w:r>
          </w:p>
        </w:tc>
      </w:tr>
      <w:tr>
        <w:tc>
          <w:tcPr>
            <w:tcW w:type="dxa" w:w="3312"/>
            <w:vAlign w:val="center"/>
          </w:tcPr>
          <w:p>
            <w:r>
              <w:rPr>
                <w:sz w:val="18"/>
              </w:rPr>
              <w:t>Yield growth %</w:t>
            </w:r>
          </w:p>
        </w:tc>
        <w:tc>
          <w:tcPr>
            <w:tcW w:type="dxa" w:w="3312"/>
            <w:vAlign w:val="center"/>
          </w:tcPr>
          <w:p>
            <w:r>
              <w:rPr>
                <w:sz w:val="18"/>
              </w:rPr>
              <w:t>Change in yield / previous yield × 100</w:t>
            </w:r>
          </w:p>
        </w:tc>
        <w:tc>
          <w:tcPr>
            <w:tcW w:type="dxa" w:w="3312"/>
            <w:vAlign w:val="center"/>
          </w:tcPr>
          <w:p>
            <w:r>
              <w:rPr>
                <w:sz w:val="18"/>
              </w:rPr>
              <w:t>Measure productivity improvement</w:t>
            </w:r>
          </w:p>
        </w:tc>
      </w:tr>
      <w:tr>
        <w:tc>
          <w:tcPr>
            <w:tcW w:type="dxa" w:w="3312"/>
            <w:vAlign w:val="center"/>
          </w:tcPr>
          <w:p>
            <w:r>
              <w:rPr>
                <w:sz w:val="18"/>
              </w:rPr>
              <w:t>Area growth %</w:t>
            </w:r>
          </w:p>
        </w:tc>
        <w:tc>
          <w:tcPr>
            <w:tcW w:type="dxa" w:w="3312"/>
            <w:vAlign w:val="center"/>
          </w:tcPr>
          <w:p>
            <w:r>
              <w:rPr>
                <w:sz w:val="18"/>
              </w:rPr>
              <w:t>Change in area / previous area × 100</w:t>
            </w:r>
          </w:p>
        </w:tc>
        <w:tc>
          <w:tcPr>
            <w:tcW w:type="dxa" w:w="3312"/>
            <w:vAlign w:val="center"/>
          </w:tcPr>
          <w:p>
            <w:r>
              <w:rPr>
                <w:sz w:val="18"/>
              </w:rPr>
              <w:t>Separate land expansion from yield effects</w:t>
            </w:r>
          </w:p>
        </w:tc>
      </w:tr>
      <w:tr>
        <w:tc>
          <w:tcPr>
            <w:tcW w:type="dxa" w:w="3312"/>
            <w:vAlign w:val="center"/>
          </w:tcPr>
          <w:p>
            <w:r>
              <w:rPr>
                <w:sz w:val="18"/>
              </w:rPr>
              <w:t>Rainfall deviation %</w:t>
            </w:r>
          </w:p>
        </w:tc>
        <w:tc>
          <w:tcPr>
            <w:tcW w:type="dxa" w:w="3312"/>
            <w:vAlign w:val="center"/>
          </w:tcPr>
          <w:p>
            <w:r>
              <w:rPr>
                <w:sz w:val="18"/>
              </w:rPr>
              <w:t>(Observed − baseline) / baseline × 100</w:t>
            </w:r>
          </w:p>
        </w:tc>
        <w:tc>
          <w:tcPr>
            <w:tcW w:type="dxa" w:w="3312"/>
            <w:vAlign w:val="center"/>
          </w:tcPr>
          <w:p>
            <w:r>
              <w:rPr>
                <w:sz w:val="18"/>
              </w:rPr>
              <w:t>Measure climate anomaly</w:t>
            </w:r>
          </w:p>
        </w:tc>
      </w:tr>
      <w:tr>
        <w:tc>
          <w:tcPr>
            <w:tcW w:type="dxa" w:w="3312"/>
            <w:vAlign w:val="center"/>
          </w:tcPr>
          <w:p>
            <w:r>
              <w:rPr>
                <w:sz w:val="18"/>
              </w:rPr>
              <w:t>Crop share</w:t>
            </w:r>
          </w:p>
        </w:tc>
        <w:tc>
          <w:tcPr>
            <w:tcW w:type="dxa" w:w="3312"/>
            <w:vAlign w:val="center"/>
          </w:tcPr>
          <w:p>
            <w:r>
              <w:rPr>
                <w:sz w:val="18"/>
              </w:rPr>
              <w:t>Crop production / total state production</w:t>
            </w:r>
          </w:p>
        </w:tc>
        <w:tc>
          <w:tcPr>
            <w:tcW w:type="dxa" w:w="3312"/>
            <w:vAlign w:val="center"/>
          </w:tcPr>
          <w:p>
            <w:r>
              <w:rPr>
                <w:sz w:val="18"/>
              </w:rPr>
              <w:t>Measure production concentration</w:t>
            </w:r>
          </w:p>
        </w:tc>
      </w:tr>
      <w:tr>
        <w:tc>
          <w:tcPr>
            <w:tcW w:type="dxa" w:w="3312"/>
            <w:vAlign w:val="center"/>
          </w:tcPr>
          <w:p>
            <w:r>
              <w:rPr>
                <w:sz w:val="18"/>
              </w:rPr>
              <w:t>Price volatility</w:t>
            </w:r>
          </w:p>
        </w:tc>
        <w:tc>
          <w:tcPr>
            <w:tcW w:type="dxa" w:w="3312"/>
            <w:vAlign w:val="center"/>
          </w:tcPr>
          <w:p>
            <w:r>
              <w:rPr>
                <w:sz w:val="18"/>
              </w:rPr>
              <w:t>Standard deviation or coefficient of variation of price</w:t>
            </w:r>
          </w:p>
        </w:tc>
        <w:tc>
          <w:tcPr>
            <w:tcW w:type="dxa" w:w="3312"/>
            <w:vAlign w:val="center"/>
          </w:tcPr>
          <w:p>
            <w:r>
              <w:rPr>
                <w:sz w:val="18"/>
              </w:rPr>
              <w:t>Assess market risk</w:t>
            </w:r>
          </w:p>
        </w:tc>
      </w:tr>
      <w:tr>
        <w:tc>
          <w:tcPr>
            <w:tcW w:type="dxa" w:w="3312"/>
            <w:vAlign w:val="center"/>
          </w:tcPr>
          <w:p>
            <w:r>
              <w:rPr>
                <w:sz w:val="18"/>
              </w:rPr>
              <w:t>Yield gap</w:t>
            </w:r>
          </w:p>
        </w:tc>
        <w:tc>
          <w:tcPr>
            <w:tcW w:type="dxa" w:w="3312"/>
            <w:vAlign w:val="center"/>
          </w:tcPr>
          <w:p>
            <w:r>
              <w:rPr>
                <w:sz w:val="18"/>
              </w:rPr>
              <w:t>Benchmark yield − observed yield</w:t>
            </w:r>
          </w:p>
        </w:tc>
        <w:tc>
          <w:tcPr>
            <w:tcW w:type="dxa" w:w="3312"/>
            <w:vAlign w:val="center"/>
          </w:tcPr>
          <w:p>
            <w:r>
              <w:rPr>
                <w:sz w:val="18"/>
              </w:rPr>
              <w:t>Identify productivity opportunity</w:t>
            </w:r>
          </w:p>
        </w:tc>
      </w:tr>
    </w:tbl>
    <w:p>
      <w:pPr>
        <w:pStyle w:val="Heading1"/>
      </w:pPr>
      <w:r>
        <w:t>8. Feature Scaling and Categorical Encoding</w:t>
      </w:r>
    </w:p>
    <w:p>
      <w:r>
        <w:t>Scaling and encoding will be applied only when required by the downstream analytical method. Descriptive statistics and tree-based models generally do not require the same scaling assumptions as distance-based or linear models.</w:t>
      </w:r>
    </w:p>
    <w:p>
      <w:pPr>
        <w:pStyle w:val="ListBullet"/>
      </w:pPr>
      <w:r>
        <w:t>One-hot encoding: use for nominal categories such as season or crop when a model requires numerical inputs.</w:t>
      </w:r>
    </w:p>
    <w:p>
      <w:pPr>
        <w:pStyle w:val="ListBullet"/>
      </w:pPr>
      <w:r>
        <w:t>Ordinal encoding: use only when categories have a meaningful order; avoid imposing artificial order on crop names or state names.</w:t>
      </w:r>
    </w:p>
    <w:p>
      <w:pPr>
        <w:pStyle w:val="ListBullet"/>
      </w:pPr>
      <w:r>
        <w:t>StandardScaler: standardize numeric features to mean 0 and standard deviation 1 for methods sensitive to scale.</w:t>
      </w:r>
    </w:p>
    <w:p>
      <w:pPr>
        <w:pStyle w:val="ListBullet"/>
      </w:pPr>
      <w:r>
        <w:t>MinMaxScaler: rescale variables to a fixed range such as 0–1 when appropriate.</w:t>
      </w:r>
    </w:p>
    <w:p>
      <w:pPr>
        <w:pStyle w:val="ListBullet"/>
      </w:pPr>
      <w:r>
        <w:t>Log transformation: consider for strongly right-skewed production, arrivals or price variables after checking for zero/negative values.</w:t>
      </w:r>
    </w:p>
    <w:p>
      <w:pPr>
        <w:pStyle w:val="Heading1"/>
      </w:pPr>
      <w:r>
        <w:t>9. Data Integration and Join Strategy</w:t>
      </w:r>
    </w:p>
    <w:p>
      <w:r>
        <w:t>The core analytical join will use standardized geography, crop and time keys. A typical APY-market integration may use state + market/district + crop/commodity + year/season, while climate integration may use district/grid + season/year. Because geographic boundaries and crop names can change, master reference tables will be used wherever possible.</w:t>
      </w:r>
    </w:p>
    <w:p>
      <w:r>
        <w:t>Before merging, key uniqueness will be tested. After merging, row counts will be compared with the pre-merge tables and unmatched keys will be reported. A many-to-many merge will be treated as a warning condition rather than silently accepted.</w:t>
      </w:r>
    </w:p>
    <w:p>
      <w:pPr>
        <w:pStyle w:val="Heading1"/>
      </w:pPr>
      <w:r>
        <w:t>10. Validation and Data-Quality Report</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Validation test</w:t>
            </w:r>
          </w:p>
        </w:tc>
        <w:tc>
          <w:tcPr>
            <w:tcW w:type="dxa" w:w="3312"/>
            <w:vAlign w:val="center"/>
          </w:tcPr>
          <w:p>
            <w:r>
              <w:rPr>
                <w:sz w:val="18"/>
              </w:rPr>
              <w:t>Example</w:t>
            </w:r>
          </w:p>
        </w:tc>
        <w:tc>
          <w:tcPr>
            <w:tcW w:type="dxa" w:w="3312"/>
            <w:vAlign w:val="center"/>
          </w:tcPr>
          <w:p>
            <w:r>
              <w:rPr>
                <w:sz w:val="18"/>
              </w:rPr>
              <w:t>Expected output</w:t>
            </w:r>
          </w:p>
        </w:tc>
      </w:tr>
      <w:tr>
        <w:tc>
          <w:tcPr>
            <w:tcW w:type="dxa" w:w="3312"/>
            <w:vAlign w:val="center"/>
          </w:tcPr>
          <w:p>
            <w:r>
              <w:rPr>
                <w:sz w:val="18"/>
              </w:rPr>
              <w:t>Schema validation</w:t>
            </w:r>
          </w:p>
        </w:tc>
        <w:tc>
          <w:tcPr>
            <w:tcW w:type="dxa" w:w="3312"/>
            <w:vAlign w:val="center"/>
          </w:tcPr>
          <w:p>
            <w:r>
              <w:rPr>
                <w:sz w:val="18"/>
              </w:rPr>
              <w:t>Required columns exist</w:t>
            </w:r>
          </w:p>
        </w:tc>
        <w:tc>
          <w:tcPr>
            <w:tcW w:type="dxa" w:w="3312"/>
            <w:vAlign w:val="center"/>
          </w:tcPr>
          <w:p>
            <w:r>
              <w:rPr>
                <w:sz w:val="18"/>
              </w:rPr>
              <w:t>Pass/fail</w:t>
            </w:r>
          </w:p>
        </w:tc>
      </w:tr>
      <w:tr>
        <w:tc>
          <w:tcPr>
            <w:tcW w:type="dxa" w:w="3312"/>
            <w:vAlign w:val="center"/>
          </w:tcPr>
          <w:p>
            <w:r>
              <w:rPr>
                <w:sz w:val="18"/>
              </w:rPr>
              <w:t>Missingness</w:t>
            </w:r>
          </w:p>
        </w:tc>
        <w:tc>
          <w:tcPr>
            <w:tcW w:type="dxa" w:w="3312"/>
            <w:vAlign w:val="center"/>
          </w:tcPr>
          <w:p>
            <w:r>
              <w:rPr>
                <w:sz w:val="18"/>
              </w:rPr>
              <w:t>% missing by field and geography</w:t>
            </w:r>
          </w:p>
        </w:tc>
        <w:tc>
          <w:tcPr>
            <w:tcW w:type="dxa" w:w="3312"/>
            <w:vAlign w:val="center"/>
          </w:tcPr>
          <w:p>
            <w:r>
              <w:rPr>
                <w:sz w:val="18"/>
              </w:rPr>
              <w:t>Data-quality table</w:t>
            </w:r>
          </w:p>
        </w:tc>
      </w:tr>
      <w:tr>
        <w:tc>
          <w:tcPr>
            <w:tcW w:type="dxa" w:w="3312"/>
            <w:vAlign w:val="center"/>
          </w:tcPr>
          <w:p>
            <w:r>
              <w:rPr>
                <w:sz w:val="18"/>
              </w:rPr>
              <w:t>Duplicates</w:t>
            </w:r>
          </w:p>
        </w:tc>
        <w:tc>
          <w:tcPr>
            <w:tcW w:type="dxa" w:w="3312"/>
            <w:vAlign w:val="center"/>
          </w:tcPr>
          <w:p>
            <w:r>
              <w:rPr>
                <w:sz w:val="18"/>
              </w:rPr>
              <w:t>Exact and business-key duplicates</w:t>
            </w:r>
          </w:p>
        </w:tc>
        <w:tc>
          <w:tcPr>
            <w:tcW w:type="dxa" w:w="3312"/>
            <w:vAlign w:val="center"/>
          </w:tcPr>
          <w:p>
            <w:r>
              <w:rPr>
                <w:sz w:val="18"/>
              </w:rPr>
              <w:t>Duplicate report</w:t>
            </w:r>
          </w:p>
        </w:tc>
      </w:tr>
      <w:tr>
        <w:tc>
          <w:tcPr>
            <w:tcW w:type="dxa" w:w="3312"/>
            <w:vAlign w:val="center"/>
          </w:tcPr>
          <w:p>
            <w:r>
              <w:rPr>
                <w:sz w:val="18"/>
              </w:rPr>
              <w:t>Range checks</w:t>
            </w:r>
          </w:p>
        </w:tc>
        <w:tc>
          <w:tcPr>
            <w:tcW w:type="dxa" w:w="3312"/>
            <w:vAlign w:val="center"/>
          </w:tcPr>
          <w:p>
            <w:r>
              <w:rPr>
                <w:sz w:val="18"/>
              </w:rPr>
              <w:t>Negative production or impossible dates</w:t>
            </w:r>
          </w:p>
        </w:tc>
        <w:tc>
          <w:tcPr>
            <w:tcW w:type="dxa" w:w="3312"/>
            <w:vAlign w:val="center"/>
          </w:tcPr>
          <w:p>
            <w:r>
              <w:rPr>
                <w:sz w:val="18"/>
              </w:rPr>
              <w:t>Exception list</w:t>
            </w:r>
          </w:p>
        </w:tc>
      </w:tr>
      <w:tr>
        <w:tc>
          <w:tcPr>
            <w:tcW w:type="dxa" w:w="3312"/>
            <w:vAlign w:val="center"/>
          </w:tcPr>
          <w:p>
            <w:r>
              <w:rPr>
                <w:sz w:val="18"/>
              </w:rPr>
              <w:t>Unit checks</w:t>
            </w:r>
          </w:p>
        </w:tc>
        <w:tc>
          <w:tcPr>
            <w:tcW w:type="dxa" w:w="3312"/>
            <w:vAlign w:val="center"/>
          </w:tcPr>
          <w:p>
            <w:r>
              <w:rPr>
                <w:sz w:val="18"/>
              </w:rPr>
              <w:t>Area/production/yield units match metadata</w:t>
            </w:r>
          </w:p>
        </w:tc>
        <w:tc>
          <w:tcPr>
            <w:tcW w:type="dxa" w:w="3312"/>
            <w:vAlign w:val="center"/>
          </w:tcPr>
          <w:p>
            <w:r>
              <w:rPr>
                <w:sz w:val="18"/>
              </w:rPr>
              <w:t>Pass/fail</w:t>
            </w:r>
          </w:p>
        </w:tc>
      </w:tr>
      <w:tr>
        <w:tc>
          <w:tcPr>
            <w:tcW w:type="dxa" w:w="3312"/>
            <w:vAlign w:val="center"/>
          </w:tcPr>
          <w:p>
            <w:r>
              <w:rPr>
                <w:sz w:val="18"/>
              </w:rPr>
              <w:t>Consistency</w:t>
            </w:r>
          </w:p>
        </w:tc>
        <w:tc>
          <w:tcPr>
            <w:tcW w:type="dxa" w:w="3312"/>
            <w:vAlign w:val="center"/>
          </w:tcPr>
          <w:p>
            <w:r>
              <w:rPr>
                <w:sz w:val="18"/>
              </w:rPr>
              <w:t>Production ≈ Area × Yield where definitions permit</w:t>
            </w:r>
          </w:p>
        </w:tc>
        <w:tc>
          <w:tcPr>
            <w:tcW w:type="dxa" w:w="3312"/>
            <w:vAlign w:val="center"/>
          </w:tcPr>
          <w:p>
            <w:r>
              <w:rPr>
                <w:sz w:val="18"/>
              </w:rPr>
              <w:t>Exception list</w:t>
            </w:r>
          </w:p>
        </w:tc>
      </w:tr>
      <w:tr>
        <w:tc>
          <w:tcPr>
            <w:tcW w:type="dxa" w:w="3312"/>
            <w:vAlign w:val="center"/>
          </w:tcPr>
          <w:p>
            <w:r>
              <w:rPr>
                <w:sz w:val="18"/>
              </w:rPr>
              <w:t>Cross-source check</w:t>
            </w:r>
          </w:p>
        </w:tc>
        <w:tc>
          <w:tcPr>
            <w:tcW w:type="dxa" w:w="3312"/>
            <w:vAlign w:val="center"/>
          </w:tcPr>
          <w:p>
            <w:r>
              <w:rPr>
                <w:sz w:val="18"/>
              </w:rPr>
              <w:t>DES vs FAOSTAT national total</w:t>
            </w:r>
          </w:p>
        </w:tc>
        <w:tc>
          <w:tcPr>
            <w:tcW w:type="dxa" w:w="3312"/>
            <w:vAlign w:val="center"/>
          </w:tcPr>
          <w:p>
            <w:r>
              <w:rPr>
                <w:sz w:val="18"/>
              </w:rPr>
              <w:t>Difference and explanation</w:t>
            </w:r>
          </w:p>
        </w:tc>
      </w:tr>
      <w:tr>
        <w:tc>
          <w:tcPr>
            <w:tcW w:type="dxa" w:w="3312"/>
            <w:vAlign w:val="center"/>
          </w:tcPr>
          <w:p>
            <w:r>
              <w:rPr>
                <w:sz w:val="18"/>
              </w:rPr>
              <w:t>Join quality</w:t>
            </w:r>
          </w:p>
        </w:tc>
        <w:tc>
          <w:tcPr>
            <w:tcW w:type="dxa" w:w="3312"/>
            <w:vAlign w:val="center"/>
          </w:tcPr>
          <w:p>
            <w:r>
              <w:rPr>
                <w:sz w:val="18"/>
              </w:rPr>
              <w:t>Unmatched geography/crop keys</w:t>
            </w:r>
          </w:p>
        </w:tc>
        <w:tc>
          <w:tcPr>
            <w:tcW w:type="dxa" w:w="3312"/>
            <w:vAlign w:val="center"/>
          </w:tcPr>
          <w:p>
            <w:r>
              <w:rPr>
                <w:sz w:val="18"/>
              </w:rPr>
              <w:t>Match-rate report</w:t>
            </w:r>
          </w:p>
        </w:tc>
      </w:tr>
    </w:tbl>
    <w:p>
      <w:pPr>
        <w:pStyle w:val="Heading1"/>
      </w:pPr>
      <w:r>
        <w:t>11. Reproducible Pseudocode</w:t>
      </w:r>
    </w:p>
    <w:p>
      <w:r>
        <w:t>BEGIN</w:t>
        <w:br/>
        <w:t xml:space="preserve">    FOR each selected data source:</w:t>
        <w:br/>
        <w:t xml:space="preserve">        Retrieve source using preferred access method</w:t>
        <w:br/>
        <w:t xml:space="preserve">        Save untouched raw file</w:t>
        <w:br/>
        <w:t xml:space="preserve">        Record source metadata and retrieval date</w:t>
        <w:br/>
        <w:t xml:space="preserve">        Validate schema and required fields</w:t>
        <w:br/>
        <w:t xml:space="preserve">        Standardize column names and data types</w:t>
        <w:br/>
        <w:t xml:space="preserve">        Standardize geography, crop, season and date fields</w:t>
        <w:br/>
        <w:t xml:space="preserve">        Profile missing values and duplicates</w:t>
        <w:br/>
        <w:t xml:space="preserve">        Validate units and numerical ranges</w:t>
        <w:br/>
        <w:t xml:space="preserve">        Flag suspicious records</w:t>
        <w:br/>
        <w:t xml:space="preserve">        Apply documented cleaning rules</w:t>
        <w:br/>
        <w:t xml:space="preserve">        Save cleaned source table</w:t>
        <w:br/>
        <w:br/>
        <w:t xml:space="preserve">    Build master reference tables</w:t>
        <w:br/>
        <w:t xml:space="preserve">    Join cleaned APY, climate and market datasets using validated keys</w:t>
        <w:br/>
        <w:t xml:space="preserve">    Check unmatched keys and row-count changes</w:t>
        <w:br/>
        <w:t xml:space="preserve">    Generate derived features</w:t>
        <w:br/>
        <w:t xml:space="preserve">    Run quality-control tests</w:t>
        <w:br/>
        <w:t xml:space="preserve">    Generate data-quality report</w:t>
        <w:br/>
        <w:t xml:space="preserve">    Save analysis-ready dataset</w:t>
        <w:br/>
        <w:t xml:space="preserve">    Save transformation log and data dictionary</w:t>
        <w:br/>
        <w:t>END</w:t>
      </w:r>
    </w:p>
    <w:p>
      <w:pPr>
        <w:pStyle w:val="Heading1"/>
      </w:pPr>
      <w:r>
        <w:t>12. Tools and Software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Tool / Library</w:t>
            </w:r>
          </w:p>
        </w:tc>
        <w:tc>
          <w:tcPr>
            <w:tcW w:type="dxa" w:w="3312"/>
            <w:vAlign w:val="center"/>
          </w:tcPr>
          <w:p>
            <w:r>
              <w:rPr>
                <w:sz w:val="18"/>
              </w:rPr>
              <w:t>Purpose</w:t>
            </w:r>
          </w:p>
        </w:tc>
        <w:tc>
          <w:tcPr>
            <w:tcW w:type="dxa" w:w="3312"/>
            <w:vAlign w:val="center"/>
          </w:tcPr>
          <w:p>
            <w:r>
              <w:rPr>
                <w:sz w:val="18"/>
              </w:rPr>
              <w:t>Use in pipeline</w:t>
            </w:r>
          </w:p>
        </w:tc>
      </w:tr>
      <w:tr>
        <w:tc>
          <w:tcPr>
            <w:tcW w:type="dxa" w:w="3312"/>
            <w:vAlign w:val="center"/>
          </w:tcPr>
          <w:p>
            <w:r>
              <w:rPr>
                <w:sz w:val="18"/>
              </w:rPr>
              <w:t>Python</w:t>
            </w:r>
          </w:p>
        </w:tc>
        <w:tc>
          <w:tcPr>
            <w:tcW w:type="dxa" w:w="3312"/>
            <w:vAlign w:val="center"/>
          </w:tcPr>
          <w:p>
            <w:r>
              <w:rPr>
                <w:sz w:val="18"/>
              </w:rPr>
              <w:t>Primary programming language</w:t>
            </w:r>
          </w:p>
        </w:tc>
        <w:tc>
          <w:tcPr>
            <w:tcW w:type="dxa" w:w="3312"/>
            <w:vAlign w:val="center"/>
          </w:tcPr>
          <w:p>
            <w:r>
              <w:rPr>
                <w:sz w:val="18"/>
              </w:rPr>
              <w:t>End-to-end pipeline</w:t>
            </w:r>
          </w:p>
        </w:tc>
      </w:tr>
      <w:tr>
        <w:tc>
          <w:tcPr>
            <w:tcW w:type="dxa" w:w="3312"/>
            <w:vAlign w:val="center"/>
          </w:tcPr>
          <w:p>
            <w:r>
              <w:rPr>
                <w:sz w:val="18"/>
              </w:rPr>
              <w:t>Pandas</w:t>
            </w:r>
          </w:p>
        </w:tc>
        <w:tc>
          <w:tcPr>
            <w:tcW w:type="dxa" w:w="3312"/>
            <w:vAlign w:val="center"/>
          </w:tcPr>
          <w:p>
            <w:r>
              <w:rPr>
                <w:sz w:val="18"/>
              </w:rPr>
              <w:t>Tabular data processing</w:t>
            </w:r>
          </w:p>
        </w:tc>
        <w:tc>
          <w:tcPr>
            <w:tcW w:type="dxa" w:w="3312"/>
            <w:vAlign w:val="center"/>
          </w:tcPr>
          <w:p>
            <w:r>
              <w:rPr>
                <w:sz w:val="18"/>
              </w:rPr>
              <w:t>Load, clean, transform, merge</w:t>
            </w:r>
          </w:p>
        </w:tc>
      </w:tr>
      <w:tr>
        <w:tc>
          <w:tcPr>
            <w:tcW w:type="dxa" w:w="3312"/>
            <w:vAlign w:val="center"/>
          </w:tcPr>
          <w:p>
            <w:r>
              <w:rPr>
                <w:sz w:val="18"/>
              </w:rPr>
              <w:t>NumPy</w:t>
            </w:r>
          </w:p>
        </w:tc>
        <w:tc>
          <w:tcPr>
            <w:tcW w:type="dxa" w:w="3312"/>
            <w:vAlign w:val="center"/>
          </w:tcPr>
          <w:p>
            <w:r>
              <w:rPr>
                <w:sz w:val="18"/>
              </w:rPr>
              <w:t>Numerical operations</w:t>
            </w:r>
          </w:p>
        </w:tc>
        <w:tc>
          <w:tcPr>
            <w:tcW w:type="dxa" w:w="3312"/>
            <w:vAlign w:val="center"/>
          </w:tcPr>
          <w:p>
            <w:r>
              <w:rPr>
                <w:sz w:val="18"/>
              </w:rPr>
              <w:t>Derived features and validation</w:t>
            </w:r>
          </w:p>
        </w:tc>
      </w:tr>
      <w:tr>
        <w:tc>
          <w:tcPr>
            <w:tcW w:type="dxa" w:w="3312"/>
            <w:vAlign w:val="center"/>
          </w:tcPr>
          <w:p>
            <w:r>
              <w:rPr>
                <w:sz w:val="18"/>
              </w:rPr>
              <w:t>Requests</w:t>
            </w:r>
          </w:p>
        </w:tc>
        <w:tc>
          <w:tcPr>
            <w:tcW w:type="dxa" w:w="3312"/>
            <w:vAlign w:val="center"/>
          </w:tcPr>
          <w:p>
            <w:r>
              <w:rPr>
                <w:sz w:val="18"/>
              </w:rPr>
              <w:t>HTTP/API retrieval</w:t>
            </w:r>
          </w:p>
        </w:tc>
        <w:tc>
          <w:tcPr>
            <w:tcW w:type="dxa" w:w="3312"/>
            <w:vAlign w:val="center"/>
          </w:tcPr>
          <w:p>
            <w:r>
              <w:rPr>
                <w:sz w:val="18"/>
              </w:rPr>
              <w:t>Automated data collection</w:t>
            </w:r>
          </w:p>
        </w:tc>
      </w:tr>
      <w:tr>
        <w:tc>
          <w:tcPr>
            <w:tcW w:type="dxa" w:w="3312"/>
            <w:vAlign w:val="center"/>
          </w:tcPr>
          <w:p>
            <w:r>
              <w:rPr>
                <w:sz w:val="18"/>
              </w:rPr>
              <w:t>BeautifulSoup</w:t>
            </w:r>
          </w:p>
        </w:tc>
        <w:tc>
          <w:tcPr>
            <w:tcW w:type="dxa" w:w="3312"/>
            <w:vAlign w:val="center"/>
          </w:tcPr>
          <w:p>
            <w:r>
              <w:rPr>
                <w:sz w:val="18"/>
              </w:rPr>
              <w:t>HTML parsing</w:t>
            </w:r>
          </w:p>
        </w:tc>
        <w:tc>
          <w:tcPr>
            <w:tcW w:type="dxa" w:w="3312"/>
            <w:vAlign w:val="center"/>
          </w:tcPr>
          <w:p>
            <w:r>
              <w:rPr>
                <w:sz w:val="18"/>
              </w:rPr>
              <w:t>Controlled fallback scraping</w:t>
            </w:r>
          </w:p>
        </w:tc>
      </w:tr>
      <w:tr>
        <w:tc>
          <w:tcPr>
            <w:tcW w:type="dxa" w:w="3312"/>
            <w:vAlign w:val="center"/>
          </w:tcPr>
          <w:p>
            <w:r>
              <w:rPr>
                <w:sz w:val="18"/>
              </w:rPr>
              <w:t>OpenPyXL</w:t>
            </w:r>
          </w:p>
        </w:tc>
        <w:tc>
          <w:tcPr>
            <w:tcW w:type="dxa" w:w="3312"/>
            <w:vAlign w:val="center"/>
          </w:tcPr>
          <w:p>
            <w:r>
              <w:rPr>
                <w:sz w:val="18"/>
              </w:rPr>
              <w:t>Excel file handling</w:t>
            </w:r>
          </w:p>
        </w:tc>
        <w:tc>
          <w:tcPr>
            <w:tcW w:type="dxa" w:w="3312"/>
            <w:vAlign w:val="center"/>
          </w:tcPr>
          <w:p>
            <w:r>
              <w:rPr>
                <w:sz w:val="18"/>
              </w:rPr>
              <w:t>Read/write source spreadsheets</w:t>
            </w:r>
          </w:p>
        </w:tc>
      </w:tr>
      <w:tr>
        <w:tc>
          <w:tcPr>
            <w:tcW w:type="dxa" w:w="3312"/>
            <w:vAlign w:val="center"/>
          </w:tcPr>
          <w:p>
            <w:r>
              <w:rPr>
                <w:sz w:val="18"/>
              </w:rPr>
              <w:t>Matplotlib</w:t>
            </w:r>
          </w:p>
        </w:tc>
        <w:tc>
          <w:tcPr>
            <w:tcW w:type="dxa" w:w="3312"/>
            <w:vAlign w:val="center"/>
          </w:tcPr>
          <w:p>
            <w:r>
              <w:rPr>
                <w:sz w:val="18"/>
              </w:rPr>
              <w:t>Quality and exploratory charts</w:t>
            </w:r>
          </w:p>
        </w:tc>
        <w:tc>
          <w:tcPr>
            <w:tcW w:type="dxa" w:w="3312"/>
            <w:vAlign w:val="center"/>
          </w:tcPr>
          <w:p>
            <w:r>
              <w:rPr>
                <w:sz w:val="18"/>
              </w:rPr>
              <w:t>Profiling and reporting</w:t>
            </w:r>
          </w:p>
        </w:tc>
      </w:tr>
      <w:tr>
        <w:tc>
          <w:tcPr>
            <w:tcW w:type="dxa" w:w="3312"/>
            <w:vAlign w:val="center"/>
          </w:tcPr>
          <w:p>
            <w:r>
              <w:rPr>
                <w:sz w:val="18"/>
              </w:rPr>
              <w:t>Jupyter Notebook</w:t>
            </w:r>
          </w:p>
        </w:tc>
        <w:tc>
          <w:tcPr>
            <w:tcW w:type="dxa" w:w="3312"/>
            <w:vAlign w:val="center"/>
          </w:tcPr>
          <w:p>
            <w:r>
              <w:rPr>
                <w:sz w:val="18"/>
              </w:rPr>
              <w:t>Interactive reproducible analysis</w:t>
            </w:r>
          </w:p>
        </w:tc>
        <w:tc>
          <w:tcPr>
            <w:tcW w:type="dxa" w:w="3312"/>
            <w:vAlign w:val="center"/>
          </w:tcPr>
          <w:p>
            <w:r>
              <w:rPr>
                <w:sz w:val="18"/>
              </w:rPr>
              <w:t>Development and documentation</w:t>
            </w:r>
          </w:p>
        </w:tc>
      </w:tr>
      <w:tr>
        <w:tc>
          <w:tcPr>
            <w:tcW w:type="dxa" w:w="3312"/>
            <w:vAlign w:val="center"/>
          </w:tcPr>
          <w:p>
            <w:r>
              <w:rPr>
                <w:sz w:val="18"/>
              </w:rPr>
              <w:t>VS Code</w:t>
            </w:r>
          </w:p>
        </w:tc>
        <w:tc>
          <w:tcPr>
            <w:tcW w:type="dxa" w:w="3312"/>
            <w:vAlign w:val="center"/>
          </w:tcPr>
          <w:p>
            <w:r>
              <w:rPr>
                <w:sz w:val="18"/>
              </w:rPr>
              <w:t>Code and project environment</w:t>
            </w:r>
          </w:p>
        </w:tc>
        <w:tc>
          <w:tcPr>
            <w:tcW w:type="dxa" w:w="3312"/>
            <w:vAlign w:val="center"/>
          </w:tcPr>
          <w:p>
            <w:r>
              <w:rPr>
                <w:sz w:val="18"/>
              </w:rPr>
              <w:t>Pipeline development</w:t>
            </w:r>
          </w:p>
        </w:tc>
      </w:tr>
      <w:tr>
        <w:tc>
          <w:tcPr>
            <w:tcW w:type="dxa" w:w="3312"/>
            <w:vAlign w:val="center"/>
          </w:tcPr>
          <w:p>
            <w:r>
              <w:rPr>
                <w:sz w:val="18"/>
              </w:rPr>
              <w:t>Excel</w:t>
            </w:r>
          </w:p>
        </w:tc>
        <w:tc>
          <w:tcPr>
            <w:tcW w:type="dxa" w:w="3312"/>
            <w:vAlign w:val="center"/>
          </w:tcPr>
          <w:p>
            <w:r>
              <w:rPr>
                <w:sz w:val="18"/>
              </w:rPr>
              <w:t>Manual source inspection</w:t>
            </w:r>
          </w:p>
        </w:tc>
        <w:tc>
          <w:tcPr>
            <w:tcW w:type="dxa" w:w="3312"/>
            <w:vAlign w:val="center"/>
          </w:tcPr>
          <w:p>
            <w:r>
              <w:rPr>
                <w:sz w:val="18"/>
              </w:rPr>
              <w:t>Initial validation</w:t>
            </w:r>
          </w:p>
        </w:tc>
      </w:tr>
      <w:tr>
        <w:tc>
          <w:tcPr>
            <w:tcW w:type="dxa" w:w="3312"/>
            <w:vAlign w:val="center"/>
          </w:tcPr>
          <w:p>
            <w:r>
              <w:rPr>
                <w:sz w:val="18"/>
              </w:rPr>
              <w:t>Git/GitHub</w:t>
            </w:r>
          </w:p>
        </w:tc>
        <w:tc>
          <w:tcPr>
            <w:tcW w:type="dxa" w:w="3312"/>
            <w:vAlign w:val="center"/>
          </w:tcPr>
          <w:p>
            <w:r>
              <w:rPr>
                <w:sz w:val="18"/>
              </w:rPr>
              <w:t>Version control</w:t>
            </w:r>
          </w:p>
        </w:tc>
        <w:tc>
          <w:tcPr>
            <w:tcW w:type="dxa" w:w="3312"/>
            <w:vAlign w:val="center"/>
          </w:tcPr>
          <w:p>
            <w:r>
              <w:rPr>
                <w:sz w:val="18"/>
              </w:rPr>
              <w:t>Scripts, documentation and data dictionaries</w:t>
            </w:r>
          </w:p>
        </w:tc>
      </w:tr>
    </w:tbl>
    <w:p>
      <w:pPr>
        <w:pStyle w:val="Heading1"/>
      </w:pPr>
      <w:r>
        <w:t>13. Folder and Data-Pipeline Structure</w:t>
      </w:r>
    </w:p>
    <w:p>
      <w:r>
        <w:t>project/</w:t>
        <w:br/>
        <w:t>├── data/</w:t>
        <w:br/>
        <w:t>│   ├── raw/</w:t>
        <w:br/>
        <w:t>│   │   ├── des/</w:t>
        <w:br/>
        <w:t>│   │   ├── agmarknet/</w:t>
        <w:br/>
        <w:t>│   │   └── climate/</w:t>
        <w:br/>
        <w:t>│   ├── processed/</w:t>
        <w:br/>
        <w:t>│   └── reference/</w:t>
        <w:br/>
        <w:t>├── notebooks/</w:t>
        <w:br/>
        <w:t>├── scripts/</w:t>
        <w:br/>
        <w:t>├── outputs/</w:t>
        <w:br/>
        <w:t>│   ├── quality_reports/</w:t>
        <w:br/>
        <w:t>│   └── figures/</w:t>
        <w:br/>
        <w:t>├── docs/</w:t>
        <w:br/>
        <w:t>└── README.md</w:t>
      </w:r>
    </w:p>
    <w:p>
      <w:r>
        <w:t>Raw files will remain unchanged. Processing scripts and notebooks will create processed datasets. Reference tables will contain standardized state, district, crop and commodity mappings. Quality reports will document validation results.</w:t>
      </w:r>
    </w:p>
    <w:p>
      <w:pPr>
        <w:pStyle w:val="Heading1"/>
      </w:pPr>
      <w:r>
        <w:t>14. 33-Hour Implementation Timeline</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sz w:val="18"/>
              </w:rPr>
              <w:t>Phase</w:t>
            </w:r>
          </w:p>
        </w:tc>
        <w:tc>
          <w:tcPr>
            <w:tcW w:type="dxa" w:w="3312"/>
            <w:vAlign w:val="center"/>
          </w:tcPr>
          <w:p>
            <w:r>
              <w:rPr>
                <w:sz w:val="18"/>
              </w:rPr>
              <w:t>Activities</w:t>
            </w:r>
          </w:p>
        </w:tc>
        <w:tc>
          <w:tcPr>
            <w:tcW w:type="dxa" w:w="3312"/>
            <w:vAlign w:val="center"/>
          </w:tcPr>
          <w:p>
            <w:r>
              <w:rPr>
                <w:sz w:val="18"/>
              </w:rPr>
              <w:t>Hours</w:t>
            </w:r>
          </w:p>
        </w:tc>
      </w:tr>
      <w:tr>
        <w:tc>
          <w:tcPr>
            <w:tcW w:type="dxa" w:w="3312"/>
            <w:vAlign w:val="center"/>
          </w:tcPr>
          <w:p>
            <w:r>
              <w:rPr>
                <w:sz w:val="18"/>
              </w:rPr>
              <w:t>1</w:t>
            </w:r>
          </w:p>
        </w:tc>
        <w:tc>
          <w:tcPr>
            <w:tcW w:type="dxa" w:w="3312"/>
            <w:vAlign w:val="center"/>
          </w:tcPr>
          <w:p>
            <w:r>
              <w:rPr>
                <w:sz w:val="18"/>
              </w:rPr>
              <w:t>Data requirements, source research and selection</w:t>
            </w:r>
          </w:p>
        </w:tc>
        <w:tc>
          <w:tcPr>
            <w:tcW w:type="dxa" w:w="3312"/>
            <w:vAlign w:val="center"/>
          </w:tcPr>
          <w:p>
            <w:r>
              <w:rPr>
                <w:sz w:val="18"/>
              </w:rPr>
              <w:t>4</w:t>
            </w:r>
          </w:p>
        </w:tc>
      </w:tr>
      <w:tr>
        <w:tc>
          <w:tcPr>
            <w:tcW w:type="dxa" w:w="3312"/>
            <w:vAlign w:val="center"/>
          </w:tcPr>
          <w:p>
            <w:r>
              <w:rPr>
                <w:sz w:val="18"/>
              </w:rPr>
              <w:t>2</w:t>
            </w:r>
          </w:p>
        </w:tc>
        <w:tc>
          <w:tcPr>
            <w:tcW w:type="dxa" w:w="3312"/>
            <w:vAlign w:val="center"/>
          </w:tcPr>
          <w:p>
            <w:r>
              <w:rPr>
                <w:sz w:val="18"/>
              </w:rPr>
              <w:t>Data acquisition and raw-data archiving</w:t>
            </w:r>
          </w:p>
        </w:tc>
        <w:tc>
          <w:tcPr>
            <w:tcW w:type="dxa" w:w="3312"/>
            <w:vAlign w:val="center"/>
          </w:tcPr>
          <w:p>
            <w:r>
              <w:rPr>
                <w:sz w:val="18"/>
              </w:rPr>
              <w:t>6</w:t>
            </w:r>
          </w:p>
        </w:tc>
      </w:tr>
      <w:tr>
        <w:tc>
          <w:tcPr>
            <w:tcW w:type="dxa" w:w="3312"/>
            <w:vAlign w:val="center"/>
          </w:tcPr>
          <w:p>
            <w:r>
              <w:rPr>
                <w:sz w:val="18"/>
              </w:rPr>
              <w:t>3</w:t>
            </w:r>
          </w:p>
        </w:tc>
        <w:tc>
          <w:tcPr>
            <w:tcW w:type="dxa" w:w="3312"/>
            <w:vAlign w:val="center"/>
          </w:tcPr>
          <w:p>
            <w:r>
              <w:rPr>
                <w:sz w:val="18"/>
              </w:rPr>
              <w:t>Data profiling and schema assessment</w:t>
            </w:r>
          </w:p>
        </w:tc>
        <w:tc>
          <w:tcPr>
            <w:tcW w:type="dxa" w:w="3312"/>
            <w:vAlign w:val="center"/>
          </w:tcPr>
          <w:p>
            <w:r>
              <w:rPr>
                <w:sz w:val="18"/>
              </w:rPr>
              <w:t>4</w:t>
            </w:r>
          </w:p>
        </w:tc>
      </w:tr>
      <w:tr>
        <w:tc>
          <w:tcPr>
            <w:tcW w:type="dxa" w:w="3312"/>
            <w:vAlign w:val="center"/>
          </w:tcPr>
          <w:p>
            <w:r>
              <w:rPr>
                <w:sz w:val="18"/>
              </w:rPr>
              <w:t>4</w:t>
            </w:r>
          </w:p>
        </w:tc>
        <w:tc>
          <w:tcPr>
            <w:tcW w:type="dxa" w:w="3312"/>
            <w:vAlign w:val="center"/>
          </w:tcPr>
          <w:p>
            <w:r>
              <w:rPr>
                <w:sz w:val="18"/>
              </w:rPr>
              <w:t>Cleaning, standardization and missing-value handling</w:t>
            </w:r>
          </w:p>
        </w:tc>
        <w:tc>
          <w:tcPr>
            <w:tcW w:type="dxa" w:w="3312"/>
            <w:vAlign w:val="center"/>
          </w:tcPr>
          <w:p>
            <w:r>
              <w:rPr>
                <w:sz w:val="18"/>
              </w:rPr>
              <w:t>7</w:t>
            </w:r>
          </w:p>
        </w:tc>
      </w:tr>
      <w:tr>
        <w:tc>
          <w:tcPr>
            <w:tcW w:type="dxa" w:w="3312"/>
            <w:vAlign w:val="center"/>
          </w:tcPr>
          <w:p>
            <w:r>
              <w:rPr>
                <w:sz w:val="18"/>
              </w:rPr>
              <w:t>5</w:t>
            </w:r>
          </w:p>
        </w:tc>
        <w:tc>
          <w:tcPr>
            <w:tcW w:type="dxa" w:w="3312"/>
            <w:vAlign w:val="center"/>
          </w:tcPr>
          <w:p>
            <w:r>
              <w:rPr>
                <w:sz w:val="18"/>
              </w:rPr>
              <w:t>Transformation, aggregation and feature engineering</w:t>
            </w:r>
          </w:p>
        </w:tc>
        <w:tc>
          <w:tcPr>
            <w:tcW w:type="dxa" w:w="3312"/>
            <w:vAlign w:val="center"/>
          </w:tcPr>
          <w:p>
            <w:r>
              <w:rPr>
                <w:sz w:val="18"/>
              </w:rPr>
              <w:t>5</w:t>
            </w:r>
          </w:p>
        </w:tc>
      </w:tr>
      <w:tr>
        <w:tc>
          <w:tcPr>
            <w:tcW w:type="dxa" w:w="3312"/>
            <w:vAlign w:val="center"/>
          </w:tcPr>
          <w:p>
            <w:r>
              <w:rPr>
                <w:sz w:val="18"/>
              </w:rPr>
              <w:t>6</w:t>
            </w:r>
          </w:p>
        </w:tc>
        <w:tc>
          <w:tcPr>
            <w:tcW w:type="dxa" w:w="3312"/>
            <w:vAlign w:val="center"/>
          </w:tcPr>
          <w:p>
            <w:r>
              <w:rPr>
                <w:sz w:val="18"/>
              </w:rPr>
              <w:t>Validation, cross-source checks and quality report</w:t>
            </w:r>
          </w:p>
        </w:tc>
        <w:tc>
          <w:tcPr>
            <w:tcW w:type="dxa" w:w="3312"/>
            <w:vAlign w:val="center"/>
          </w:tcPr>
          <w:p>
            <w:r>
              <w:rPr>
                <w:sz w:val="18"/>
              </w:rPr>
              <w:t>3</w:t>
            </w:r>
          </w:p>
        </w:tc>
      </w:tr>
      <w:tr>
        <w:tc>
          <w:tcPr>
            <w:tcW w:type="dxa" w:w="3312"/>
            <w:vAlign w:val="center"/>
          </w:tcPr>
          <w:p>
            <w:r>
              <w:rPr>
                <w:sz w:val="18"/>
              </w:rPr>
              <w:t>7</w:t>
            </w:r>
          </w:p>
        </w:tc>
        <w:tc>
          <w:tcPr>
            <w:tcW w:type="dxa" w:w="3312"/>
            <w:vAlign w:val="center"/>
          </w:tcPr>
          <w:p>
            <w:r>
              <w:rPr>
                <w:sz w:val="18"/>
              </w:rPr>
              <w:t>Documentation, review and final submission</w:t>
            </w:r>
          </w:p>
        </w:tc>
        <w:tc>
          <w:tcPr>
            <w:tcW w:type="dxa" w:w="3312"/>
            <w:vAlign w:val="center"/>
          </w:tcPr>
          <w:p>
            <w:r>
              <w:rPr>
                <w:sz w:val="18"/>
              </w:rPr>
              <w:t>4</w:t>
            </w:r>
          </w:p>
        </w:tc>
      </w:tr>
    </w:tbl>
    <w:p>
      <w:r>
        <w:t>Total planned effort: 33 hours.</w:t>
      </w:r>
    </w:p>
    <w:p>
      <w:pPr>
        <w:pStyle w:val="Heading1"/>
      </w:pPr>
      <w:r>
        <w:t>15. Risks and Mitigation</w:t>
      </w:r>
    </w:p>
    <w:p>
      <w:pPr>
        <w:pStyle w:val="ListBullet"/>
      </w:pPr>
      <w:r>
        <w:t>Source changes: record retrieval date, schema and version; update scripts when source structures change.</w:t>
      </w:r>
    </w:p>
    <w:p>
      <w:pPr>
        <w:pStyle w:val="ListBullet"/>
      </w:pPr>
      <w:r>
        <w:t>Missing regional observations: report coverage explicitly and avoid unsupported imputation.</w:t>
      </w:r>
    </w:p>
    <w:p>
      <w:pPr>
        <w:pStyle w:val="ListBullet"/>
      </w:pPr>
      <w:r>
        <w:t>Different definitions across sources: compare metadata before merging and preserve source-specific fields.</w:t>
      </w:r>
    </w:p>
    <w:p>
      <w:pPr>
        <w:pStyle w:val="ListBullet"/>
      </w:pPr>
      <w:r>
        <w:t>Unit mismatch: maintain a unit dictionary and run automated unit checks.</w:t>
      </w:r>
    </w:p>
    <w:p>
      <w:pPr>
        <w:pStyle w:val="ListBullet"/>
      </w:pPr>
      <w:r>
        <w:t>Geographic boundary changes: use official codes/reference tables and document boundary assumptions.</w:t>
      </w:r>
    </w:p>
    <w:p>
      <w:pPr>
        <w:pStyle w:val="ListBullet"/>
      </w:pPr>
      <w:r>
        <w:t>Duplicate or revised records: use business keys and source revision information.</w:t>
      </w:r>
    </w:p>
    <w:p>
      <w:pPr>
        <w:pStyle w:val="ListBullet"/>
      </w:pPr>
      <w:r>
        <w:t>Web access instability: retain downloaded raw files and prefer reproducible machine-readable sources.</w:t>
      </w:r>
    </w:p>
    <w:p>
      <w:pPr>
        <w:pStyle w:val="ListBullet"/>
      </w:pPr>
      <w:r>
        <w:t>Scraping restrictions: use APIs/downloads/manual official reports where available and comply with terms of use.</w:t>
      </w:r>
    </w:p>
    <w:p>
      <w:pPr>
        <w:pStyle w:val="Heading1"/>
      </w:pPr>
      <w:r>
        <w:t>16. Expected Deliverables</w:t>
      </w:r>
    </w:p>
    <w:p>
      <w:pPr>
        <w:pStyle w:val="ListBullet"/>
      </w:pPr>
      <w:r>
        <w:t>Raw-source archive with source metadata.</w:t>
      </w:r>
    </w:p>
    <w:p>
      <w:pPr>
        <w:pStyle w:val="ListBullet"/>
      </w:pPr>
      <w:r>
        <w:t>Cleaned APY dataset.</w:t>
      </w:r>
    </w:p>
    <w:p>
      <w:pPr>
        <w:pStyle w:val="ListBullet"/>
      </w:pPr>
      <w:r>
        <w:t>Cleaned market and climate datasets when integrated.</w:t>
      </w:r>
    </w:p>
    <w:p>
      <w:pPr>
        <w:pStyle w:val="ListBullet"/>
      </w:pPr>
      <w:r>
        <w:t>Reference tables for crops, states, districts and commodities.</w:t>
      </w:r>
    </w:p>
    <w:p>
      <w:pPr>
        <w:pStyle w:val="ListBullet"/>
      </w:pPr>
      <w:r>
        <w:t>Data dictionary defining every analytical field and unit.</w:t>
      </w:r>
    </w:p>
    <w:p>
      <w:pPr>
        <w:pStyle w:val="ListBullet"/>
      </w:pPr>
      <w:r>
        <w:t>Quality-control report showing missingness, duplicates, ranges and join quality.</w:t>
      </w:r>
    </w:p>
    <w:p>
      <w:pPr>
        <w:pStyle w:val="ListBullet"/>
      </w:pPr>
      <w:r>
        <w:t>Transformation scripts/notebooks.</w:t>
      </w:r>
    </w:p>
    <w:p>
      <w:pPr>
        <w:pStyle w:val="ListBullet"/>
      </w:pPr>
      <w:r>
        <w:t>Analysis-ready integrated dataset for Week 3+.</w:t>
      </w:r>
    </w:p>
    <w:p>
      <w:pPr>
        <w:pStyle w:val="Heading1"/>
      </w:pPr>
      <w:r>
        <w:t>17. Conclusion</w:t>
      </w:r>
    </w:p>
    <w:p>
      <w:r>
        <w:t>The Week 2 plan establishes a practical and reproducible foundation for agricultural data analysis. The strategy prioritizes official DES APY data for crop production and productivity, Agmarknet for market signals, and FAOSTAT for national cross-validation, with climate data added through a documented and geographically compatible source. The process separates raw data from processed data, uses explicit validation rules, avoids indiscriminate imputation, standardizes units and categories, and records the decisions required to reproduce the pipeline.</w:t>
      </w:r>
    </w:p>
    <w:p>
      <w:r>
        <w:t>The most important principle is that cleaning will be treated as an analytical process rather than a purely technical step. A missing production value, an unusual market price, a district name mismatch or a unit inconsistency can materially change the conclusions of an agribusiness analysis. By documenting these decisions and validating the integrated dataset before analysis, the project will be better positioned to produce reliable regional opportunity, productivity and risk insights in subsequent weeks.</w:t>
      </w:r>
    </w:p>
    <w:p>
      <w:pPr>
        <w:pStyle w:val="Heading1"/>
      </w:pPr>
      <w:r>
        <w:t>18. Source Register</w:t>
      </w:r>
    </w:p>
    <w:p>
      <w:r>
        <w:t>1. Directorate of Economics &amp; Statistics, Government of India — Area, Production &amp; Yield Reports. Official interface supports state, district, crop, season and year selections. citeturn0search0</w:t>
      </w:r>
    </w:p>
    <w:p>
      <w:r>
        <w:t>2. Directorate of Economics &amp; Statistics — Special Data Dissemination Standards. Describes district-wise APY compilation and dissemination. citeturn0search11</w:t>
      </w:r>
    </w:p>
    <w:p>
      <w:r>
        <w:t>3. Agmarknet — Government of India agricultural market information and official documentation on market prices and arrivals. citeturn0search34turn0search36</w:t>
      </w:r>
    </w:p>
    <w:p>
      <w:r>
        <w:t>4. FAOSTAT — Crop production, yield and harvested-area dataset, including documented units, coverage and data lineage. citeturn0search2</w:t>
      </w:r>
    </w:p>
    <w:p>
      <w:r>
        <w:t>5. DES Agricultural Statistics at a Glance — official agricultural statistics publication archive. citeturn0search7</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