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C00000"/>
          <w:sz w:val="30"/>
          <w:szCs w:val="30"/>
        </w:rPr>
        <w:t xml:space="preserve">WatchGuard Technologies</w:t>
      </w:r>
    </w:p>
    <w:p>
      <w:pPr>
        <w:spacing w:after="100"/>
        <w:jc w:val="center"/>
      </w:pPr>
      <w:r>
        <w:rPr>
          <w:b/>
          <w:bCs/>
          <w:color w:val="1F3864"/>
          <w:sz w:val="24"/>
          <w:szCs w:val="24"/>
        </w:rPr>
        <w:t xml:space="preserve">Identity Security</w:t>
      </w:r>
    </w:p>
    <w:p>
      <w:pPr>
        <w:spacing w:after="200" w:before="400"/>
        <w:jc w:val="center"/>
      </w:pPr>
      <w:r>
        <w:rPr>
          <w:b/>
          <w:bCs/>
          <w:sz w:val="56"/>
          <w:szCs w:val="56"/>
        </w:rPr>
        <w:t xml:space="preserve">AuthPoint MFA</w:t>
      </w:r>
    </w:p>
    <w:p>
      <w:pPr>
        <w:spacing w:after="3000"/>
        <w:jc w:val="center"/>
      </w:pPr>
      <w:r>
        <w:rPr>
          <w:i/>
          <w:iCs/>
          <w:color w:val="444444"/>
          <w:sz w:val="26"/>
          <w:szCs w:val="26"/>
        </w:rPr>
        <w:t xml:space="preserve">Cloud-Based Multi-Factor Authentication and Zero Trust Identity Verification</w:t>
      </w:r>
    </w:p>
    <w:p>
      <w:pPr>
        <w:jc w:val="center"/>
      </w:pPr>
      <w:r>
        <w:rPr>
          <w:color w:val="666666"/>
          <w:sz w:val="20"/>
          <w:szCs w:val="20"/>
        </w:rPr>
        <w:t xml:space="preserve">User Manual — Compiled from Official WatchGuard Documentation</w:t>
      </w:r>
    </w:p>
    <w:p>
      <w:pPr>
        <w:spacing w:after="0"/>
        <w:jc w:val="center"/>
      </w:pPr>
      <w:r>
        <w:rPr>
          <w:color w:val="666666"/>
          <w:sz w:val="20"/>
          <w:szCs w:val="20"/>
        </w:rPr>
        <w:t xml:space="preserve">July 2026</w:t>
      </w:r>
    </w:p>
    <w:p>
      <w:r>
        <w:br w:type="page"/>
      </w:r>
    </w:p>
    <w:p>
      <w:pPr>
        <w:pStyle w:val="Heading1"/>
        <w:spacing w:after="160" w:before="320"/>
      </w:pPr>
      <w:r>
        <w:t xml:space="preserve">1. Product Overview</w:t>
      </w:r>
    </w:p>
    <w:p>
      <w:pPr>
        <w:spacing w:after="140"/>
      </w:pPr>
      <w:r>
        <w:t xml:space="preserve">AuthPoint is WatchGuard's cloud-native multi-factor authentication (MFA) service. It verifies user identities with push notifications, one-time passcodes (OTP), QR codes, hardware tokens, and phishing-resistant passkeys, and it is managed entirely from WatchGuard Cloud.</w:t>
      </w:r>
    </w:p>
    <w:p>
      <w:pPr>
        <w:spacing w:after="140"/>
      </w:pPr>
      <w:r>
        <w:t xml:space="preserve">AuthPoint protects logins to Windows and macOS computers, VPNs, cloud applications (through SAML and OIDC), and Microsoft 365 and Azure through certified Microsoft Entra ID External MFA. It also provides an Identity Provider (IdP) portal for web single sign-on (SSO) to MFA-protected applications.</w:t>
      </w:r>
    </w:p>
    <w:p>
      <w:pPr>
        <w:spacing w:after="140"/>
      </w:pPr>
      <w:r>
        <w:t xml:space="preserve">AuthPoint is available as a standalone Multi-Factor Authentication (MFA) product, or as part of Total Identity Security, WatchGuard's broader identity security bundle that adds capabilities such as risk-based authentication and dark web monitoring.</w:t>
      </w:r>
    </w:p>
    <w:p>
      <w:pPr>
        <w:pStyle w:val="Heading1"/>
        <w:spacing w:after="160" w:before="320"/>
      </w:pPr>
      <w:r>
        <w:t xml:space="preserve">2. Key Features</w:t>
      </w:r>
    </w:p>
    <w:p>
      <w:pPr>
        <w:pStyle w:val="ListParagraph"/>
        <w:numPr>
          <w:ilvl w:val="0"/>
          <w:numId w:val="2"/>
        </w:numPr>
        <w:spacing w:after="80"/>
      </w:pPr>
      <w:r>
        <w:t xml:space="preserve">Phishing-resistant passkeys — users authenticate with a fingerprint or face scan instead of a password or code.</w:t>
      </w:r>
    </w:p>
    <w:p>
      <w:pPr>
        <w:pStyle w:val="ListParagraph"/>
        <w:numPr>
          <w:ilvl w:val="0"/>
          <w:numId w:val="2"/>
        </w:numPr>
        <w:spacing w:after="80"/>
      </w:pPr>
      <w:r>
        <w:t xml:space="preserve">Zero Trust adaptive policies — access decisions consider device, location, and behavior context at every login.</w:t>
      </w:r>
    </w:p>
    <w:p>
      <w:pPr>
        <w:pStyle w:val="ListParagraph"/>
        <w:numPr>
          <w:ilvl w:val="0"/>
          <w:numId w:val="2"/>
        </w:numPr>
        <w:spacing w:after="80"/>
      </w:pPr>
      <w:r>
        <w:t xml:space="preserve">Certified Microsoft Entra ID External MFA — one MFA solution for Microsoft 365, Azure, and other applications, without requiring SAML.</w:t>
      </w:r>
    </w:p>
    <w:p>
      <w:pPr>
        <w:pStyle w:val="ListParagraph"/>
        <w:numPr>
          <w:ilvl w:val="0"/>
          <w:numId w:val="2"/>
        </w:numPr>
        <w:spacing w:after="80"/>
      </w:pPr>
      <w:r>
        <w:t xml:space="preserve">Unique Mobile Device DNA — ties each authentication to a specific physical device, so a cloned phone cannot be used to authenticate.</w:t>
      </w:r>
    </w:p>
    <w:p>
      <w:pPr>
        <w:pStyle w:val="ListParagraph"/>
        <w:numPr>
          <w:ilvl w:val="0"/>
          <w:numId w:val="2"/>
        </w:numPr>
        <w:spacing w:after="80"/>
      </w:pPr>
      <w:r>
        <w:t xml:space="preserve">Cross-platform coverage — a single mobile app protects Windows and macOS logins, VPN access, and cloud applications.</w:t>
      </w:r>
    </w:p>
    <w:p>
      <w:pPr>
        <w:pStyle w:val="ListParagraph"/>
        <w:numPr>
          <w:ilvl w:val="0"/>
          <w:numId w:val="2"/>
        </w:numPr>
        <w:spacing w:after="80"/>
      </w:pPr>
      <w:r>
        <w:t xml:space="preserve">Cloud multi-tenant management — MSPs can deploy and manage identity security for many customer accounts from one WatchGuard Cloud console.</w:t>
      </w:r>
    </w:p>
    <w:p>
      <w:pPr>
        <w:pStyle w:val="ListParagraph"/>
        <w:numPr>
          <w:ilvl w:val="0"/>
          <w:numId w:val="2"/>
        </w:numPr>
        <w:spacing w:after="80"/>
      </w:pPr>
      <w:r>
        <w:t xml:space="preserve">Multiple authentication methods — push notification, OTP, QR code, hardware token, and passkey, plus support for third-party tokens in the AuthPoint app.</w:t>
      </w:r>
    </w:p>
    <w:p>
      <w:pPr>
        <w:pStyle w:val="ListParagraph"/>
        <w:numPr>
          <w:ilvl w:val="0"/>
          <w:numId w:val="2"/>
        </w:numPr>
        <w:spacing w:after="80"/>
      </w:pPr>
      <w:r>
        <w:t xml:space="preserve">Identity Provider (IdP) portal — gives users single sign-on access to a list of SAML resources they are authorized to use.</w:t>
      </w:r>
    </w:p>
    <w:p>
      <w:pPr>
        <w:pStyle w:val="Heading1"/>
        <w:spacing w:after="160" w:before="320"/>
      </w:pPr>
      <w:r>
        <w:t xml:space="preserve">3. Hardware and Software Components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c>
          <w:tcPr>
            <w:tcW w:type="dxa" w:w="3000"/>
            <w:shd w:fill="1F3864" w:val="clear"/>
            <w:vAlign w:val="center"/>
          </w:tcPr>
          <w:p>
            <w:r>
              <w:rPr>
                <w:b/>
                <w:bCs/>
                <w:color w:val="FFFFFF"/>
                <w:sz w:val="20"/>
                <w:szCs w:val="20"/>
              </w:rPr>
              <w:t xml:space="preserve">Component</w:t>
            </w:r>
          </w:p>
        </w:tc>
        <w:tc>
          <w:tcPr>
            <w:tcW w:type="dxa" w:w="6900"/>
            <w:shd w:fill="1F3864" w:val="clear"/>
            <w:vAlign w:val="center"/>
          </w:tcPr>
          <w:p>
            <w:r>
              <w:rPr>
                <w:b/>
                <w:bCs/>
                <w:color w:val="FFFFFF"/>
                <w:sz w:val="20"/>
                <w:szCs w:val="20"/>
              </w:rPr>
              <w:t xml:space="preserve">Purpose</w:t>
            </w:r>
          </w:p>
        </w:tc>
      </w:tr>
      <w:tr>
        <w:tc>
          <w:tcPr>
            <w:tcW w:type="dxa" w:w="3000"/>
            <w:vAlign w:val="center"/>
          </w:tcPr>
          <w:p>
            <w:r>
              <w:rPr>
                <w:b w:val="false"/>
                <w:bCs w:val="false"/>
                <w:color w:val="000000"/>
                <w:sz w:val="20"/>
                <w:szCs w:val="20"/>
              </w:rPr>
              <w:t xml:space="preserve">AuthPoint mobile app</w:t>
            </w:r>
          </w:p>
        </w:tc>
        <w:tc>
          <w:tcPr>
            <w:tcW w:type="dxa" w:w="6900"/>
            <w:vAlign w:val="center"/>
          </w:tcPr>
          <w:p>
            <w:r>
              <w:rPr>
                <w:b w:val="false"/>
                <w:bCs w:val="false"/>
                <w:color w:val="000000"/>
                <w:sz w:val="20"/>
                <w:szCs w:val="20"/>
              </w:rPr>
              <w:t xml:space="preserve">Required for authentication. Used to view and manage tokens, approve push notifications, retrieve OTPs, and scan QR codes.</w:t>
            </w:r>
          </w:p>
        </w:tc>
      </w:tr>
      <w:tr>
        <w:tc>
          <w:tcPr>
            <w:tcW w:type="dxa" w:w="3000"/>
            <w:vAlign w:val="center"/>
          </w:tcPr>
          <w:p>
            <w:r>
              <w:rPr>
                <w:b w:val="false"/>
                <w:bCs w:val="false"/>
                <w:color w:val="000000"/>
                <w:sz w:val="20"/>
                <w:szCs w:val="20"/>
              </w:rPr>
              <w:t xml:space="preserve">AuthPoint Gateway</w:t>
            </w:r>
          </w:p>
        </w:tc>
        <w:tc>
          <w:tcPr>
            <w:tcW w:type="dxa" w:w="6900"/>
            <w:vAlign w:val="center"/>
          </w:tcPr>
          <w:p>
            <w:r>
              <w:rPr>
                <w:b w:val="false"/>
                <w:bCs w:val="false"/>
                <w:color w:val="000000"/>
                <w:sz w:val="20"/>
                <w:szCs w:val="20"/>
              </w:rPr>
              <w:t xml:space="preserve">A lightweight software application installed on the customer network that lets AuthPoint communicate with RADIUS clients and LDAP databases. Required for RADIUS authentication and for LDAP users to authenticate to SAML resources.</w:t>
            </w:r>
          </w:p>
        </w:tc>
      </w:tr>
      <w:tr>
        <w:tc>
          <w:tcPr>
            <w:tcW w:type="dxa" w:w="3000"/>
            <w:vAlign w:val="center"/>
          </w:tcPr>
          <w:p>
            <w:r>
              <w:rPr>
                <w:b w:val="false"/>
                <w:bCs w:val="false"/>
                <w:color w:val="000000"/>
                <w:sz w:val="20"/>
                <w:szCs w:val="20"/>
              </w:rPr>
              <w:t xml:space="preserve">Logon App</w:t>
            </w:r>
          </w:p>
        </w:tc>
        <w:tc>
          <w:tcPr>
            <w:tcW w:type="dxa" w:w="6900"/>
            <w:vAlign w:val="center"/>
          </w:tcPr>
          <w:p>
            <w:r>
              <w:rPr>
                <w:b w:val="false"/>
                <w:bCs w:val="false"/>
                <w:color w:val="000000"/>
                <w:sz w:val="20"/>
                <w:szCs w:val="20"/>
              </w:rPr>
              <w:t xml:space="preserve">Installed on a Windows computer or server, plus a corresponding resource configured in AuthPoint, to require MFA at computer or server logon.</w:t>
            </w:r>
          </w:p>
        </w:tc>
      </w:tr>
      <w:tr>
        <w:tc>
          <w:tcPr>
            <w:tcW w:type="dxa" w:w="3000"/>
            <w:vAlign w:val="center"/>
          </w:tcPr>
          <w:p>
            <w:r>
              <w:rPr>
                <w:b w:val="false"/>
                <w:bCs w:val="false"/>
                <w:color w:val="000000"/>
                <w:sz w:val="20"/>
                <w:szCs w:val="20"/>
              </w:rPr>
              <w:t xml:space="preserve">ADFS Agent</w:t>
            </w:r>
          </w:p>
        </w:tc>
        <w:tc>
          <w:tcPr>
            <w:tcW w:type="dxa" w:w="6900"/>
            <w:vAlign w:val="center"/>
          </w:tcPr>
          <w:p>
            <w:r>
              <w:rPr>
                <w:b w:val="false"/>
                <w:bCs w:val="false"/>
                <w:color w:val="000000"/>
                <w:sz w:val="20"/>
                <w:szCs w:val="20"/>
              </w:rPr>
              <w:t xml:space="preserve">Adds MFA to Active Directory Federation Services (ADFS).</w:t>
            </w:r>
          </w:p>
        </w:tc>
      </w:tr>
      <w:tr>
        <w:tc>
          <w:tcPr>
            <w:tcW w:type="dxa" w:w="3000"/>
            <w:vAlign w:val="center"/>
          </w:tcPr>
          <w:p>
            <w:r>
              <w:rPr>
                <w:b w:val="false"/>
                <w:bCs w:val="false"/>
                <w:color w:val="000000"/>
                <w:sz w:val="20"/>
                <w:szCs w:val="20"/>
              </w:rPr>
              <w:t xml:space="preserve">Hardware tokens</w:t>
            </w:r>
          </w:p>
        </w:tc>
        <w:tc>
          <w:tcPr>
            <w:tcW w:type="dxa" w:w="6900"/>
            <w:vAlign w:val="center"/>
          </w:tcPr>
          <w:p>
            <w:r>
              <w:rPr>
                <w:b w:val="false"/>
                <w:bCs w:val="false"/>
                <w:color w:val="000000"/>
                <w:sz w:val="20"/>
                <w:szCs w:val="20"/>
              </w:rPr>
              <w:t xml:space="preserve">Physical WatchGuard or supported third-party tokens that generate one-time passcodes for users who cannot use the mobile app.</w:t>
            </w:r>
          </w:p>
        </w:tc>
      </w:tr>
      <w:tr>
        <w:tc>
          <w:tcPr>
            <w:tcW w:type="dxa" w:w="3000"/>
            <w:vAlign w:val="center"/>
          </w:tcPr>
          <w:p>
            <w:r>
              <w:rPr>
                <w:b w:val="false"/>
                <w:bCs w:val="false"/>
                <w:color w:val="000000"/>
                <w:sz w:val="20"/>
                <w:szCs w:val="20"/>
              </w:rPr>
              <w:t xml:space="preserve">WatchGuard Cloud</w:t>
            </w:r>
          </w:p>
        </w:tc>
        <w:tc>
          <w:tcPr>
            <w:tcW w:type="dxa" w:w="6900"/>
            <w:vAlign w:val="center"/>
          </w:tcPr>
          <w:p>
            <w:r>
              <w:rPr>
                <w:b w:val="false"/>
                <w:bCs w:val="false"/>
                <w:color w:val="000000"/>
                <w:sz w:val="20"/>
                <w:szCs w:val="20"/>
              </w:rPr>
              <w:t xml:space="preserve">The web console administrators use to manage users, groups, tokens, resources, and authentication policies.</w:t>
            </w:r>
          </w:p>
        </w:tc>
      </w:tr>
    </w:tbl>
    <w:p>
      <w:pPr>
        <w:pStyle w:val="Heading1"/>
        <w:spacing w:after="160" w:before="320"/>
      </w:pPr>
      <w:r>
        <w:t xml:space="preserve">4. System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6600"/>
      </w:tblGrid>
      <w:tr>
        <w:tc>
          <w:tcPr>
            <w:tcW w:type="dxa" w:w="3300"/>
            <w:shd w:fill="1F3864" w:val="clear"/>
            <w:vAlign w:val="center"/>
          </w:tcPr>
          <w:p>
            <w:r>
              <w:rPr>
                <w:b/>
                <w:bCs/>
                <w:color w:val="FFFFFF"/>
                <w:sz w:val="20"/>
                <w:szCs w:val="20"/>
              </w:rPr>
              <w:t xml:space="preserve">Requirement</w:t>
            </w:r>
          </w:p>
        </w:tc>
        <w:tc>
          <w:tcPr>
            <w:tcW w:type="dxa" w:w="6600"/>
            <w:shd w:fill="1F3864" w:val="clear"/>
            <w:vAlign w:val="center"/>
          </w:tcPr>
          <w:p>
            <w:r>
              <w:rPr>
                <w:b/>
                <w:bCs/>
                <w:color w:val="FFFFFF"/>
                <w:sz w:val="20"/>
                <w:szCs w:val="20"/>
              </w:rPr>
              <w:t xml:space="preserve">Details</w:t>
            </w:r>
          </w:p>
        </w:tc>
      </w:tr>
      <w:tr>
        <w:tc>
          <w:tcPr>
            <w:tcW w:type="dxa" w:w="3300"/>
            <w:vAlign w:val="center"/>
          </w:tcPr>
          <w:p>
            <w:r>
              <w:rPr>
                <w:b w:val="false"/>
                <w:bCs w:val="false"/>
                <w:color w:val="000000"/>
                <w:sz w:val="20"/>
                <w:szCs w:val="20"/>
              </w:rPr>
              <w:t xml:space="preserve">WatchGuard account</w:t>
            </w:r>
          </w:p>
        </w:tc>
        <w:tc>
          <w:tcPr>
            <w:tcW w:type="dxa" w:w="6600"/>
            <w:vAlign w:val="center"/>
          </w:tcPr>
          <w:p>
            <w:r>
              <w:rPr>
                <w:b w:val="false"/>
                <w:bCs w:val="false"/>
                <w:color w:val="000000"/>
                <w:sz w:val="20"/>
                <w:szCs w:val="20"/>
              </w:rPr>
              <w:t xml:space="preserve">An active WatchGuard Cloud account with an AuthPoint MFA or Total Identity Security license.</w:t>
            </w:r>
          </w:p>
        </w:tc>
      </w:tr>
      <w:tr>
        <w:tc>
          <w:tcPr>
            <w:tcW w:type="dxa" w:w="3300"/>
            <w:vAlign w:val="center"/>
          </w:tcPr>
          <w:p>
            <w:r>
              <w:rPr>
                <w:b w:val="false"/>
                <w:bCs w:val="false"/>
                <w:color w:val="000000"/>
                <w:sz w:val="20"/>
                <w:szCs w:val="20"/>
              </w:rPr>
              <w:t xml:space="preserve">Mobile device</w:t>
            </w:r>
          </w:p>
        </w:tc>
        <w:tc>
          <w:tcPr>
            <w:tcW w:type="dxa" w:w="6600"/>
            <w:vAlign w:val="center"/>
          </w:tcPr>
          <w:p>
            <w:r>
              <w:rPr>
                <w:b w:val="false"/>
                <w:bCs w:val="false"/>
                <w:color w:val="000000"/>
                <w:sz w:val="20"/>
                <w:szCs w:val="20"/>
              </w:rPr>
              <w:t xml:space="preserve">A supported iOS or Android device to install the AuthPoint mobile app for push, OTP, QR code, or passkey authentication.</w:t>
            </w:r>
          </w:p>
        </w:tc>
      </w:tr>
      <w:tr>
        <w:tc>
          <w:tcPr>
            <w:tcW w:type="dxa" w:w="3300"/>
            <w:vAlign w:val="center"/>
          </w:tcPr>
          <w:p>
            <w:r>
              <w:rPr>
                <w:b w:val="false"/>
                <w:bCs w:val="false"/>
                <w:color w:val="000000"/>
                <w:sz w:val="20"/>
                <w:szCs w:val="20"/>
              </w:rPr>
              <w:t xml:space="preserve">Network connectivity</w:t>
            </w:r>
          </w:p>
        </w:tc>
        <w:tc>
          <w:tcPr>
            <w:tcW w:type="dxa" w:w="6600"/>
            <w:vAlign w:val="center"/>
          </w:tcPr>
          <w:p>
            <w:r>
              <w:rPr>
                <w:b w:val="false"/>
                <w:bCs w:val="false"/>
                <w:color w:val="000000"/>
                <w:sz w:val="20"/>
                <w:szCs w:val="20"/>
              </w:rPr>
              <w:t xml:space="preserve">Internet access from the AuthPoint Gateway and Logon App hosts so they can communicate with the AuthPoint cloud service.</w:t>
            </w:r>
          </w:p>
        </w:tc>
      </w:tr>
      <w:tr>
        <w:tc>
          <w:tcPr>
            <w:tcW w:type="dxa" w:w="3300"/>
            <w:vAlign w:val="center"/>
          </w:tcPr>
          <w:p>
            <w:r>
              <w:rPr>
                <w:b w:val="false"/>
                <w:bCs w:val="false"/>
                <w:color w:val="000000"/>
                <w:sz w:val="20"/>
                <w:szCs w:val="20"/>
              </w:rPr>
              <w:t xml:space="preserve">Directory integration (optional)</w:t>
            </w:r>
          </w:p>
        </w:tc>
        <w:tc>
          <w:tcPr>
            <w:tcW w:type="dxa" w:w="6600"/>
            <w:vAlign w:val="center"/>
          </w:tcPr>
          <w:p>
            <w:r>
              <w:rPr>
                <w:b w:val="false"/>
                <w:bCs w:val="false"/>
                <w:color w:val="000000"/>
                <w:sz w:val="20"/>
                <w:szCs w:val="20"/>
              </w:rPr>
              <w:t xml:space="preserve">Active Directory or an LDAP database if you plan to sync existing users and groups instead of creating them manually.</w:t>
            </w:r>
          </w:p>
        </w:tc>
      </w:tr>
      <w:tr>
        <w:tc>
          <w:tcPr>
            <w:tcW w:type="dxa" w:w="3300"/>
            <w:vAlign w:val="center"/>
          </w:tcPr>
          <w:p>
            <w:r>
              <w:rPr>
                <w:b w:val="false"/>
                <w:bCs w:val="false"/>
                <w:color w:val="000000"/>
                <w:sz w:val="20"/>
                <w:szCs w:val="20"/>
              </w:rPr>
              <w:t xml:space="preserve">Supported resources</w:t>
            </w:r>
          </w:p>
        </w:tc>
        <w:tc>
          <w:tcPr>
            <w:tcW w:type="dxa" w:w="6600"/>
            <w:vAlign w:val="center"/>
          </w:tcPr>
          <w:p>
            <w:r>
              <w:rPr>
                <w:b w:val="false"/>
                <w:bCs w:val="false"/>
                <w:color w:val="000000"/>
                <w:sz w:val="20"/>
                <w:szCs w:val="20"/>
              </w:rPr>
              <w:t xml:space="preserve">VPNs, cloud applications (SAML/OIDC), Windows/macOS computers, servers, and Microsoft Entra ID for MFA enforcement.</w:t>
            </w:r>
          </w:p>
        </w:tc>
      </w:tr>
    </w:tbl>
    <w:p>
      <w:pPr>
        <w:pStyle w:val="Heading1"/>
        <w:spacing w:after="160" w:before="320"/>
      </w:pPr>
      <w:r>
        <w:t xml:space="preserve">5. Installation</w:t>
      </w:r>
    </w:p>
    <w:p>
      <w:pPr>
        <w:pStyle w:val="Heading2"/>
        <w:spacing w:after="120" w:before="240"/>
      </w:pPr>
      <w:r>
        <w:t xml:space="preserve">5.1 Cloud Service Setup</w:t>
      </w:r>
    </w:p>
    <w:p>
      <w:pPr>
        <w:pStyle w:val="ListParagraph"/>
        <w:numPr>
          <w:ilvl w:val="0"/>
          <w:numId w:val="2"/>
        </w:numPr>
        <w:spacing w:after="80"/>
      </w:pPr>
      <w:r>
        <w:t xml:space="preserve">Log in to WatchGuard Cloud and confirm your account has an active AuthPoint license.</w:t>
      </w:r>
    </w:p>
    <w:p>
      <w:pPr>
        <w:pStyle w:val="ListParagraph"/>
        <w:numPr>
          <w:ilvl w:val="0"/>
          <w:numId w:val="2"/>
        </w:numPr>
        <w:spacing w:after="80"/>
      </w:pPr>
      <w:r>
        <w:t xml:space="preserve">Navigate to the AuthPoint section to begin adding users, groups, and resources.</w:t>
      </w:r>
    </w:p>
    <w:p>
      <w:pPr>
        <w:pStyle w:val="Heading2"/>
        <w:spacing w:after="120" w:before="240"/>
      </w:pPr>
      <w:r>
        <w:t xml:space="preserve">5.2 Install the AuthPoint Gateway (if using RADIUS or LDAP)</w:t>
      </w:r>
    </w:p>
    <w:p>
      <w:pPr>
        <w:pStyle w:val="ListParagraph"/>
        <w:numPr>
          <w:ilvl w:val="0"/>
          <w:numId w:val="2"/>
        </w:numPr>
        <w:spacing w:after="80"/>
      </w:pPr>
      <w:r>
        <w:t xml:space="preserve">Download the AuthPoint Gateway installer from WatchGuard Cloud.</w:t>
      </w:r>
    </w:p>
    <w:p>
      <w:pPr>
        <w:pStyle w:val="ListParagraph"/>
        <w:numPr>
          <w:ilvl w:val="0"/>
          <w:numId w:val="2"/>
        </w:numPr>
        <w:spacing w:after="80"/>
      </w:pPr>
      <w:r>
        <w:t xml:space="preserve">Install the Gateway on a server inside your network that can reach both your LDAP/Active Directory environment and the internet.</w:t>
      </w:r>
    </w:p>
    <w:p>
      <w:pPr>
        <w:pStyle w:val="ListParagraph"/>
        <w:numPr>
          <w:ilvl w:val="0"/>
          <w:numId w:val="2"/>
        </w:numPr>
        <w:spacing w:after="80"/>
      </w:pPr>
      <w:r>
        <w:t xml:space="preserve">Configure the Gateway to connect to your RADIUS clients and LDAP databases as required by your resources.</w:t>
      </w:r>
    </w:p>
    <w:p>
      <w:pPr>
        <w:pStyle w:val="Heading2"/>
        <w:spacing w:after="120" w:before="240"/>
      </w:pPr>
      <w:r>
        <w:t xml:space="preserve">5.3 Install the Logon App (if enforcing MFA at device logon)</w:t>
      </w:r>
    </w:p>
    <w:p>
      <w:pPr>
        <w:pStyle w:val="ListParagraph"/>
        <w:numPr>
          <w:ilvl w:val="0"/>
          <w:numId w:val="2"/>
        </w:numPr>
        <w:spacing w:after="80"/>
      </w:pPr>
      <w:r>
        <w:t xml:space="preserve">Install the Logon App component on each Windows computer or server where MFA should be required at logon.</w:t>
      </w:r>
    </w:p>
    <w:p>
      <w:pPr>
        <w:pStyle w:val="ListParagraph"/>
        <w:numPr>
          <w:ilvl w:val="0"/>
          <w:numId w:val="2"/>
        </w:numPr>
        <w:spacing w:after="80"/>
      </w:pPr>
      <w:r>
        <w:t xml:space="preserve">Confirm the computer has internet access, since the Logon App must reach AuthPoint to check authentication policies before a user's first logon.</w:t>
      </w:r>
    </w:p>
    <w:p>
      <w:pPr>
        <w:pStyle w:val="ListParagraph"/>
        <w:numPr>
          <w:ilvl w:val="0"/>
          <w:numId w:val="2"/>
        </w:numPr>
        <w:spacing w:after="80"/>
      </w:pPr>
      <w:r>
        <w:t xml:space="preserve">Configure the corresponding Logon App resource in AuthPoint to link the installed component to an authentication policy.</w:t>
      </w:r>
    </w:p>
    <w:p>
      <w:pPr>
        <w:pStyle w:val="Heading1"/>
        <w:spacing w:after="160" w:before="320"/>
      </w:pPr>
      <w:r>
        <w:t xml:space="preserve">6. Initial Setup</w:t>
      </w:r>
    </w:p>
    <w:p>
      <w:pPr>
        <w:pStyle w:val="Heading2"/>
        <w:spacing w:after="120" w:before="240"/>
      </w:pPr>
      <w:r>
        <w:t xml:space="preserve">6.1 Add Your First User</w:t>
      </w:r>
    </w:p>
    <w:p>
      <w:pPr>
        <w:pStyle w:val="ListParagraph"/>
        <w:numPr>
          <w:ilvl w:val="0"/>
          <w:numId w:val="2"/>
        </w:numPr>
        <w:spacing w:after="80"/>
      </w:pPr>
      <w:r>
        <w:t xml:space="preserve">1. In WatchGuard Cloud, go to the AuthPoint Users page and add a new user.</w:t>
      </w:r>
    </w:p>
    <w:p>
      <w:pPr>
        <w:pStyle w:val="ListParagraph"/>
        <w:numPr>
          <w:ilvl w:val="0"/>
          <w:numId w:val="2"/>
        </w:numPr>
        <w:spacing w:after="80"/>
      </w:pPr>
      <w:r>
        <w:t xml:space="preserve">2. Select MFA user (rather than Non-MFA user) so the account can authenticate with AuthPoint.</w:t>
      </w:r>
    </w:p>
    <w:p>
      <w:pPr>
        <w:pStyle w:val="ListParagraph"/>
        <w:numPr>
          <w:ilvl w:val="0"/>
          <w:numId w:val="2"/>
        </w:numPr>
        <w:spacing w:after="80"/>
      </w:pPr>
      <w:r>
        <w:t xml:space="preserve">3. Enter the user's first name, last name, a unique user name, and an email address.</w:t>
      </w:r>
    </w:p>
    <w:p>
      <w:pPr>
        <w:pStyle w:val="ListParagraph"/>
        <w:numPr>
          <w:ilvl w:val="0"/>
          <w:numId w:val="2"/>
        </w:numPr>
        <w:spacing w:after="80"/>
      </w:pPr>
      <w:r>
        <w:t xml:space="preserve">4. Leave the default options selected so AuthPoint automatically creates a token for the user and emails them an activation link.</w:t>
      </w:r>
    </w:p>
    <w:p>
      <w:pPr>
        <w:pStyle w:val="ListParagraph"/>
        <w:numPr>
          <w:ilvl w:val="0"/>
          <w:numId w:val="2"/>
        </w:numPr>
        <w:spacing w:after="80"/>
      </w:pPr>
      <w:r>
        <w:t xml:space="preserve">5. Click Save. AuthPoint sends the user two emails: one to set their AuthPoint password, and one to activate their token.</w:t>
      </w:r>
    </w:p>
    <w:p>
      <w:pPr>
        <w:pStyle w:val="Heading2"/>
        <w:spacing w:after="120" w:before="240"/>
      </w:pPr>
      <w:r>
        <w:t xml:space="preserve">6.2 Activate the Mobile Token</w:t>
      </w:r>
    </w:p>
    <w:p>
      <w:pPr>
        <w:pStyle w:val="ListParagraph"/>
        <w:numPr>
          <w:ilvl w:val="0"/>
          <w:numId w:val="2"/>
        </w:numPr>
        <w:spacing w:after="80"/>
      </w:pPr>
      <w:r>
        <w:t xml:space="preserve">1. Download and install the AuthPoint mobile app on your phone.</w:t>
      </w:r>
    </w:p>
    <w:p>
      <w:pPr>
        <w:pStyle w:val="ListParagraph"/>
        <w:numPr>
          <w:ilvl w:val="0"/>
          <w:numId w:val="2"/>
        </w:numPr>
        <w:spacing w:after="80"/>
      </w:pPr>
      <w:r>
        <w:t xml:space="preserve">2. Open the Set Password email and follow the link to create your AuthPoint password.</w:t>
      </w:r>
    </w:p>
    <w:p>
      <w:pPr>
        <w:pStyle w:val="ListParagraph"/>
        <w:numPr>
          <w:ilvl w:val="0"/>
          <w:numId w:val="2"/>
        </w:numPr>
        <w:spacing w:after="80"/>
      </w:pPr>
      <w:r>
        <w:t xml:space="preserve">3. Open the Activation email and click the activation link to reach the Welcome to AuthPoint page.</w:t>
      </w:r>
    </w:p>
    <w:p>
      <w:pPr>
        <w:pStyle w:val="ListParagraph"/>
        <w:numPr>
          <w:ilvl w:val="0"/>
          <w:numId w:val="2"/>
        </w:numPr>
        <w:spacing w:after="80"/>
      </w:pPr>
      <w:r>
        <w:t xml:space="preserve">4. On a phone, tap Activate to open the app and activate the token directly; on a computer, open the AuthPoint app and tap Activate, then scan the QR code shown on screen.</w:t>
      </w:r>
    </w:p>
    <w:p>
      <w:pPr>
        <w:pStyle w:val="ListParagraph"/>
        <w:numPr>
          <w:ilvl w:val="0"/>
          <w:numId w:val="2"/>
        </w:numPr>
        <w:spacing w:after="80"/>
      </w:pPr>
      <w:r>
        <w:t xml:space="preserve">5. Optionally set a custom name and image for the new token once activation completes.</w:t>
      </w:r>
    </w:p>
    <w:p>
      <w:pPr>
        <w:pBdr>
          <w:left w:val="single" w:color="1F3864" w:sz="12" w:space="8"/>
        </w:pBdr>
        <w:spacing w:after="140" w:before="100"/>
        <w:ind w:left="200"/>
      </w:pPr>
      <w:r>
        <w:rPr>
          <w:i/>
          <w:iCs/>
          <w:color w:val="555555"/>
        </w:rPr>
        <w:t xml:space="preserve">Note: Users synced from Active Directory or an LDAP database do not receive a Set Password email — they authenticate with their existing directory password.</w:t>
      </w:r>
    </w:p>
    <w:p>
      <w:pPr>
        <w:pStyle w:val="Heading2"/>
        <w:spacing w:after="120" w:before="240"/>
      </w:pPr>
      <w:r>
        <w:t xml:space="preserve">6.3 Sync Users from Active Directory or LDAP (Optional)</w:t>
      </w:r>
    </w:p>
    <w:p>
      <w:pPr>
        <w:pStyle w:val="ListParagraph"/>
        <w:numPr>
          <w:ilvl w:val="0"/>
          <w:numId w:val="2"/>
        </w:numPr>
        <w:spacing w:after="80"/>
      </w:pPr>
      <w:r>
        <w:t xml:space="preserve">Configure an external identity connection to your Active Directory or LDAP database in AuthPoint.</w:t>
      </w:r>
    </w:p>
    <w:p>
      <w:pPr>
        <w:pStyle w:val="ListParagraph"/>
        <w:numPr>
          <w:ilvl w:val="0"/>
          <w:numId w:val="2"/>
        </w:numPr>
        <w:spacing w:after="80"/>
      </w:pPr>
      <w:r>
        <w:t xml:space="preserve">Add a query or group sync to identify which users and groups to import.</w:t>
      </w:r>
    </w:p>
    <w:p>
      <w:pPr>
        <w:pStyle w:val="ListParagraph"/>
        <w:numPr>
          <w:ilvl w:val="0"/>
          <w:numId w:val="2"/>
        </w:numPr>
        <w:spacing w:after="80"/>
      </w:pPr>
      <w:r>
        <w:t xml:space="preserve">Choose whether AuthPoint should automatically assign a mobile token and send the activation email to synced users.</w:t>
      </w:r>
    </w:p>
    <w:p>
      <w:pPr>
        <w:pStyle w:val="ListParagraph"/>
        <w:numPr>
          <w:ilvl w:val="0"/>
          <w:numId w:val="2"/>
        </w:numPr>
        <w:spacing w:after="80"/>
      </w:pPr>
      <w:r>
        <w:t xml:space="preserve">AuthPoint creates a user account for each person identified by the sync at the configured synchronization interval.</w:t>
      </w:r>
    </w:p>
    <w:p>
      <w:pPr>
        <w:pStyle w:val="Heading1"/>
        <w:spacing w:after="160" w:before="320"/>
      </w:pPr>
      <w:r>
        <w:t xml:space="preserve">7. Basic Configuration</w:t>
      </w:r>
    </w:p>
    <w:p>
      <w:pPr>
        <w:pStyle w:val="ListParagraph"/>
        <w:numPr>
          <w:ilvl w:val="0"/>
          <w:numId w:val="2"/>
        </w:numPr>
        <w:spacing w:after="80"/>
      </w:pPr>
      <w:r>
        <w:t xml:space="preserve">Groups: organize users into groups to apply authentication policies consistently.</w:t>
      </w:r>
    </w:p>
    <w:p>
      <w:pPr>
        <w:pStyle w:val="ListParagraph"/>
        <w:numPr>
          <w:ilvl w:val="0"/>
          <w:numId w:val="2"/>
        </w:numPr>
        <w:spacing w:after="80"/>
      </w:pPr>
      <w:r>
        <w:t xml:space="preserve">Resources: add the applications, VPNs, servers, or the IdP portal that AuthPoint should protect.</w:t>
      </w:r>
    </w:p>
    <w:p>
      <w:pPr>
        <w:pStyle w:val="ListParagraph"/>
        <w:numPr>
          <w:ilvl w:val="0"/>
          <w:numId w:val="2"/>
        </w:numPr>
        <w:spacing w:after="80"/>
      </w:pPr>
      <w:r>
        <w:t xml:space="preserve">Authentication policies: define which groups must use MFA for which resources, and which authentication methods are allowed.</w:t>
      </w:r>
    </w:p>
    <w:p>
      <w:pPr>
        <w:pStyle w:val="ListParagraph"/>
        <w:numPr>
          <w:ilvl w:val="0"/>
          <w:numId w:val="2"/>
        </w:numPr>
        <w:spacing w:after="80"/>
      </w:pPr>
      <w:r>
        <w:t xml:space="preserve">IdP portal: enable the portal so users can see and access their available SAML resources from a single page, and optionally activate their own tokens there.</w:t>
      </w:r>
    </w:p>
    <w:p>
      <w:pPr>
        <w:pStyle w:val="ListParagraph"/>
        <w:numPr>
          <w:ilvl w:val="0"/>
          <w:numId w:val="2"/>
        </w:numPr>
        <w:spacing w:after="80"/>
      </w:pPr>
      <w:r>
        <w:t xml:space="preserve">Hardware tokens: assign and, if the IdP portal is unavailable, manually activate hardware tokens for users who need them.</w:t>
      </w:r>
    </w:p>
    <w:p>
      <w:pPr>
        <w:pStyle w:val="ListParagraph"/>
        <w:numPr>
          <w:ilvl w:val="0"/>
          <w:numId w:val="2"/>
        </w:numPr>
        <w:spacing w:after="80"/>
      </w:pPr>
      <w:r>
        <w:t xml:space="preserve">Additional devices: users with more than one mobile device can activate a separate token (up to 20 WatchGuard tokens per user) for each device.</w:t>
      </w:r>
    </w:p>
    <w:p>
      <w:pPr>
        <w:pStyle w:val="Heading1"/>
        <w:spacing w:after="160" w:before="320"/>
      </w:pPr>
      <w:r>
        <w:t xml:space="preserve">8. Common Use Cases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400"/>
        <w:gridCol w:w="6500"/>
      </w:tblGrid>
      <w:tr>
        <w:tc>
          <w:tcPr>
            <w:tcW w:type="dxa" w:w="3400"/>
            <w:shd w:fill="1F3864" w:val="clear"/>
            <w:vAlign w:val="center"/>
          </w:tcPr>
          <w:p>
            <w:r>
              <w:rPr>
                <w:b/>
                <w:bCs/>
                <w:color w:val="FFFFFF"/>
                <w:sz w:val="20"/>
                <w:szCs w:val="20"/>
              </w:rPr>
              <w:t xml:space="preserve">Use Case</w:t>
            </w:r>
          </w:p>
        </w:tc>
        <w:tc>
          <w:tcPr>
            <w:tcW w:type="dxa" w:w="6500"/>
            <w:shd w:fill="1F3864" w:val="clear"/>
            <w:vAlign w:val="center"/>
          </w:tcPr>
          <w:p>
            <w:r>
              <w:rPr>
                <w:b/>
                <w:bCs/>
                <w:color w:val="FFFFFF"/>
                <w:sz w:val="20"/>
                <w:szCs w:val="20"/>
              </w:rPr>
              <w:t xml:space="preserve">How AuthPoint Helps</w:t>
            </w:r>
          </w:p>
        </w:tc>
      </w:tr>
      <w:tr>
        <w:tc>
          <w:tcPr>
            <w:tcW w:type="dxa" w:w="3400"/>
            <w:vAlign w:val="center"/>
          </w:tcPr>
          <w:p>
            <w:r>
              <w:rPr>
                <w:b w:val="false"/>
                <w:bCs w:val="false"/>
                <w:color w:val="000000"/>
                <w:sz w:val="20"/>
                <w:szCs w:val="20"/>
              </w:rPr>
              <w:t xml:space="preserve">Securing Microsoft 365 and Azure logins</w:t>
            </w:r>
          </w:p>
        </w:tc>
        <w:tc>
          <w:tcPr>
            <w:tcW w:type="dxa" w:w="6500"/>
            <w:vAlign w:val="center"/>
          </w:tcPr>
          <w:p>
            <w:r>
              <w:rPr>
                <w:b w:val="false"/>
                <w:bCs w:val="false"/>
                <w:color w:val="000000"/>
                <w:sz w:val="20"/>
                <w:szCs w:val="20"/>
              </w:rPr>
              <w:t xml:space="preserve">Certified Entra ID External MFA protects Microsoft sign-ins without requiring SAML configuration.</w:t>
            </w:r>
          </w:p>
        </w:tc>
      </w:tr>
      <w:tr>
        <w:tc>
          <w:tcPr>
            <w:tcW w:type="dxa" w:w="3400"/>
            <w:vAlign w:val="center"/>
          </w:tcPr>
          <w:p>
            <w:r>
              <w:rPr>
                <w:b w:val="false"/>
                <w:bCs w:val="false"/>
                <w:color w:val="000000"/>
                <w:sz w:val="20"/>
                <w:szCs w:val="20"/>
              </w:rPr>
              <w:t xml:space="preserve">VPN remote access</w:t>
            </w:r>
          </w:p>
        </w:tc>
        <w:tc>
          <w:tcPr>
            <w:tcW w:type="dxa" w:w="6500"/>
            <w:vAlign w:val="center"/>
          </w:tcPr>
          <w:p>
            <w:r>
              <w:rPr>
                <w:b w:val="false"/>
                <w:bCs w:val="false"/>
                <w:color w:val="000000"/>
                <w:sz w:val="20"/>
                <w:szCs w:val="20"/>
              </w:rPr>
              <w:t xml:space="preserve">AuthPoint Gateway enables RADIUS-based MFA for VPN and network access.</w:t>
            </w:r>
          </w:p>
        </w:tc>
      </w:tr>
      <w:tr>
        <w:tc>
          <w:tcPr>
            <w:tcW w:type="dxa" w:w="3400"/>
            <w:vAlign w:val="center"/>
          </w:tcPr>
          <w:p>
            <w:r>
              <w:rPr>
                <w:b w:val="false"/>
                <w:bCs w:val="false"/>
                <w:color w:val="000000"/>
                <w:sz w:val="20"/>
                <w:szCs w:val="20"/>
              </w:rPr>
              <w:t xml:space="preserve">Workstation and server logon</w:t>
            </w:r>
          </w:p>
        </w:tc>
        <w:tc>
          <w:tcPr>
            <w:tcW w:type="dxa" w:w="6500"/>
            <w:vAlign w:val="center"/>
          </w:tcPr>
          <w:p>
            <w:r>
              <w:rPr>
                <w:b w:val="false"/>
                <w:bCs w:val="false"/>
                <w:color w:val="000000"/>
                <w:sz w:val="20"/>
                <w:szCs w:val="20"/>
              </w:rPr>
              <w:t xml:space="preserve">The Logon App enforces MFA when users log on to protected Windows computers or servers.</w:t>
            </w:r>
          </w:p>
        </w:tc>
      </w:tr>
      <w:tr>
        <w:tc>
          <w:tcPr>
            <w:tcW w:type="dxa" w:w="3400"/>
            <w:vAlign w:val="center"/>
          </w:tcPr>
          <w:p>
            <w:r>
              <w:rPr>
                <w:b w:val="false"/>
                <w:bCs w:val="false"/>
                <w:color w:val="000000"/>
                <w:sz w:val="20"/>
                <w:szCs w:val="20"/>
              </w:rPr>
              <w:t xml:space="preserve">Third-party SaaS application access</w:t>
            </w:r>
          </w:p>
        </w:tc>
        <w:tc>
          <w:tcPr>
            <w:tcW w:type="dxa" w:w="6500"/>
            <w:vAlign w:val="center"/>
          </w:tcPr>
          <w:p>
            <w:r>
              <w:rPr>
                <w:b w:val="false"/>
                <w:bCs w:val="false"/>
                <w:color w:val="000000"/>
                <w:sz w:val="20"/>
                <w:szCs w:val="20"/>
              </w:rPr>
              <w:t xml:space="preserve">SAML/OIDC-based resources and the IdP portal add MFA and SSO to cloud applications.</w:t>
            </w:r>
          </w:p>
        </w:tc>
      </w:tr>
      <w:tr>
        <w:tc>
          <w:tcPr>
            <w:tcW w:type="dxa" w:w="3400"/>
            <w:vAlign w:val="center"/>
          </w:tcPr>
          <w:p>
            <w:r>
              <w:rPr>
                <w:b w:val="false"/>
                <w:bCs w:val="false"/>
                <w:color w:val="000000"/>
                <w:sz w:val="20"/>
                <w:szCs w:val="20"/>
              </w:rPr>
              <w:t xml:space="preserve">MSP-delivered identity security</w:t>
            </w:r>
          </w:p>
        </w:tc>
        <w:tc>
          <w:tcPr>
            <w:tcW w:type="dxa" w:w="6500"/>
            <w:vAlign w:val="center"/>
          </w:tcPr>
          <w:p>
            <w:r>
              <w:rPr>
                <w:b w:val="false"/>
                <w:bCs w:val="false"/>
                <w:color w:val="000000"/>
                <w:sz w:val="20"/>
                <w:szCs w:val="20"/>
              </w:rPr>
              <w:t xml:space="preserve">Multi-tenant management in WatchGuard Cloud lets MSPs manage AuthPoint across many customer accounts from one console.</w:t>
            </w:r>
          </w:p>
        </w:tc>
      </w:tr>
    </w:tbl>
    <w:p>
      <w:pPr>
        <w:pStyle w:val="Heading1"/>
        <w:spacing w:after="160" w:before="320"/>
      </w:pPr>
      <w:r>
        <w:t xml:space="preserve">9. Daily Operations</w:t>
      </w:r>
    </w:p>
    <w:p>
      <w:pPr>
        <w:pStyle w:val="ListParagraph"/>
        <w:numPr>
          <w:ilvl w:val="0"/>
          <w:numId w:val="2"/>
        </w:numPr>
        <w:spacing w:after="80"/>
      </w:pPr>
      <w:r>
        <w:t xml:space="preserve">Monitor user and token status (Activated, Pending) on the Users page in WatchGuard Cloud.</w:t>
      </w:r>
    </w:p>
    <w:p>
      <w:pPr>
        <w:pStyle w:val="ListParagraph"/>
        <w:numPr>
          <w:ilvl w:val="0"/>
          <w:numId w:val="2"/>
        </w:numPr>
        <w:spacing w:after="80"/>
      </w:pPr>
      <w:r>
        <w:t xml:space="preserve">Add new users and resend Set Password or Activation emails as new employees join or reset their devices.</w:t>
      </w:r>
    </w:p>
    <w:p>
      <w:pPr>
        <w:pStyle w:val="ListParagraph"/>
        <w:numPr>
          <w:ilvl w:val="0"/>
          <w:numId w:val="2"/>
        </w:numPr>
        <w:spacing w:after="80"/>
      </w:pPr>
      <w:r>
        <w:t xml:space="preserve">Approve or review authentication activity and investigate unexpected push notification requests.</w:t>
      </w:r>
    </w:p>
    <w:p>
      <w:pPr>
        <w:pStyle w:val="ListParagraph"/>
        <w:numPr>
          <w:ilvl w:val="0"/>
          <w:numId w:val="2"/>
        </w:numPr>
        <w:spacing w:after="80"/>
      </w:pPr>
      <w:r>
        <w:t xml:space="preserve">Add or revoke tokens promptly when an employee's device is lost, replaced, or when the employee leaves the organization.</w:t>
      </w:r>
    </w:p>
    <w:p>
      <w:pPr>
        <w:pStyle w:val="ListParagraph"/>
        <w:numPr>
          <w:ilvl w:val="0"/>
          <w:numId w:val="2"/>
        </w:numPr>
        <w:spacing w:after="80"/>
      </w:pPr>
      <w:r>
        <w:t xml:space="preserve">Review and update authentication policies as new resources or groups are added.</w:t>
      </w:r>
    </w:p>
    <w:p>
      <w:pPr>
        <w:pStyle w:val="ListParagraph"/>
        <w:numPr>
          <w:ilvl w:val="0"/>
          <w:numId w:val="2"/>
        </w:numPr>
        <w:spacing w:after="80"/>
      </w:pPr>
      <w:r>
        <w:t xml:space="preserve">Check group sync status if using Active Directory/LDAP integration to confirm new employees are provisioned automatically.</w:t>
      </w:r>
    </w:p>
    <w:p>
      <w:pPr>
        <w:pStyle w:val="Heading1"/>
        <w:spacing w:after="160" w:before="320"/>
      </w:pPr>
      <w:r>
        <w:t xml:space="preserve">10. Troubleshooting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400"/>
        <w:gridCol w:w="6500"/>
      </w:tblGrid>
      <w:tr>
        <w:tc>
          <w:tcPr>
            <w:tcW w:type="dxa" w:w="3400"/>
            <w:shd w:fill="1F3864" w:val="clear"/>
            <w:vAlign w:val="center"/>
          </w:tcPr>
          <w:p>
            <w:r>
              <w:rPr>
                <w:b/>
                <w:bCs/>
                <w:color w:val="FFFFFF"/>
                <w:sz w:val="20"/>
                <w:szCs w:val="20"/>
              </w:rPr>
              <w:t xml:space="preserve">Issue</w:t>
            </w:r>
          </w:p>
        </w:tc>
        <w:tc>
          <w:tcPr>
            <w:tcW w:type="dxa" w:w="6500"/>
            <w:shd w:fill="1F3864" w:val="clear"/>
            <w:vAlign w:val="center"/>
          </w:tcPr>
          <w:p>
            <w:r>
              <w:rPr>
                <w:b/>
                <w:bCs/>
                <w:color w:val="FFFFFF"/>
                <w:sz w:val="20"/>
                <w:szCs w:val="20"/>
              </w:rPr>
              <w:t xml:space="preserve">Recommended Action</w:t>
            </w:r>
          </w:p>
        </w:tc>
      </w:tr>
      <w:tr>
        <w:tc>
          <w:tcPr>
            <w:tcW w:type="dxa" w:w="3400"/>
            <w:vAlign w:val="center"/>
          </w:tcPr>
          <w:p>
            <w:r>
              <w:rPr>
                <w:b w:val="false"/>
                <w:bCs w:val="false"/>
                <w:color w:val="000000"/>
                <w:sz w:val="20"/>
                <w:szCs w:val="20"/>
              </w:rPr>
              <w:t xml:space="preserve">User did not receive the Activation or Set Password email</w:t>
            </w:r>
          </w:p>
        </w:tc>
        <w:tc>
          <w:tcPr>
            <w:tcW w:type="dxa" w:w="6500"/>
            <w:vAlign w:val="center"/>
          </w:tcPr>
          <w:p>
            <w:r>
              <w:rPr>
                <w:b w:val="false"/>
                <w:bCs w:val="false"/>
                <w:color w:val="000000"/>
                <w:sz w:val="20"/>
                <w:szCs w:val="20"/>
              </w:rPr>
              <w:t xml:space="preserve">Resend the Activation Email or Set Password Email from the Users page in WatchGuard Cloud.</w:t>
            </w:r>
          </w:p>
        </w:tc>
      </w:tr>
      <w:tr>
        <w:tc>
          <w:tcPr>
            <w:tcW w:type="dxa" w:w="3400"/>
            <w:vAlign w:val="center"/>
          </w:tcPr>
          <w:p>
            <w:r>
              <w:rPr>
                <w:b w:val="false"/>
                <w:bCs w:val="false"/>
                <w:color w:val="000000"/>
                <w:sz w:val="20"/>
                <w:szCs w:val="20"/>
              </w:rPr>
              <w:t xml:space="preserve">Cannot add a new token for a user</w:t>
            </w:r>
          </w:p>
        </w:tc>
        <w:tc>
          <w:tcPr>
            <w:tcW w:type="dxa" w:w="6500"/>
            <w:vAlign w:val="center"/>
          </w:tcPr>
          <w:p>
            <w:r>
              <w:rPr>
                <w:b w:val="false"/>
                <w:bCs w:val="false"/>
                <w:color w:val="000000"/>
                <w:sz w:val="20"/>
                <w:szCs w:val="20"/>
              </w:rPr>
              <w:t xml:space="preserve">Check whether the user already has a pending token; a new token cannot be added until the pending one is resolved.</w:t>
            </w:r>
          </w:p>
        </w:tc>
      </w:tr>
      <w:tr>
        <w:tc>
          <w:tcPr>
            <w:tcW w:type="dxa" w:w="3400"/>
            <w:vAlign w:val="center"/>
          </w:tcPr>
          <w:p>
            <w:r>
              <w:rPr>
                <w:b w:val="false"/>
                <w:bCs w:val="false"/>
                <w:color w:val="000000"/>
                <w:sz w:val="20"/>
                <w:szCs w:val="20"/>
              </w:rPr>
              <w:t xml:space="preserve">Logon App does not enforce MFA on first logon</w:t>
            </w:r>
          </w:p>
        </w:tc>
        <w:tc>
          <w:tcPr>
            <w:tcW w:type="dxa" w:w="6500"/>
            <w:vAlign w:val="center"/>
          </w:tcPr>
          <w:p>
            <w:r>
              <w:rPr>
                <w:b w:val="false"/>
                <w:bCs w:val="false"/>
                <w:color w:val="000000"/>
                <w:sz w:val="20"/>
                <w:szCs w:val="20"/>
              </w:rPr>
              <w:t xml:space="preserve">Confirm the computer had internet access before the user's first logon, since the Logon App must reach AuthPoint to check policies.</w:t>
            </w:r>
          </w:p>
        </w:tc>
      </w:tr>
      <w:tr>
        <w:tc>
          <w:tcPr>
            <w:tcW w:type="dxa" w:w="3400"/>
            <w:vAlign w:val="center"/>
          </w:tcPr>
          <w:p>
            <w:r>
              <w:rPr>
                <w:b w:val="false"/>
                <w:bCs w:val="false"/>
                <w:color w:val="000000"/>
                <w:sz w:val="20"/>
                <w:szCs w:val="20"/>
              </w:rPr>
              <w:t xml:space="preserve">RADIUS or LDAP authentication fails</w:t>
            </w:r>
          </w:p>
        </w:tc>
        <w:tc>
          <w:tcPr>
            <w:tcW w:type="dxa" w:w="6500"/>
            <w:vAlign w:val="center"/>
          </w:tcPr>
          <w:p>
            <w:r>
              <w:rPr>
                <w:b w:val="false"/>
                <w:bCs w:val="false"/>
                <w:color w:val="000000"/>
                <w:sz w:val="20"/>
                <w:szCs w:val="20"/>
              </w:rPr>
              <w:t xml:space="preserve">Verify the AuthPoint Gateway is installed, running, and can reach both the internet and your LDAP/Active Directory server.</w:t>
            </w:r>
          </w:p>
        </w:tc>
      </w:tr>
      <w:tr>
        <w:tc>
          <w:tcPr>
            <w:tcW w:type="dxa" w:w="3400"/>
            <w:vAlign w:val="center"/>
          </w:tcPr>
          <w:p>
            <w:r>
              <w:rPr>
                <w:b w:val="false"/>
                <w:bCs w:val="false"/>
                <w:color w:val="000000"/>
                <w:sz w:val="20"/>
                <w:szCs w:val="20"/>
              </w:rPr>
              <w:t xml:space="preserve">User cannot activate a hardware token</w:t>
            </w:r>
          </w:p>
        </w:tc>
        <w:tc>
          <w:tcPr>
            <w:tcW w:type="dxa" w:w="6500"/>
            <w:vAlign w:val="center"/>
          </w:tcPr>
          <w:p>
            <w:r>
              <w:rPr>
                <w:b w:val="false"/>
                <w:bCs w:val="false"/>
                <w:color w:val="000000"/>
                <w:sz w:val="20"/>
                <w:szCs w:val="20"/>
              </w:rPr>
              <w:t xml:space="preserve">Confirm the IdP portal is enabled for self-service activation, or have an AuthPoint administrator activate the token manually using the token's serial number and current OTP.</w:t>
            </w:r>
          </w:p>
        </w:tc>
      </w:tr>
      <w:tr>
        <w:tc>
          <w:tcPr>
            <w:tcW w:type="dxa" w:w="3400"/>
            <w:vAlign w:val="center"/>
          </w:tcPr>
          <w:p>
            <w:r>
              <w:rPr>
                <w:b w:val="false"/>
                <w:bCs w:val="false"/>
                <w:color w:val="000000"/>
                <w:sz w:val="20"/>
                <w:szCs w:val="20"/>
              </w:rPr>
              <w:t xml:space="preserve">User wants to switch to a new phone</w:t>
            </w:r>
          </w:p>
        </w:tc>
        <w:tc>
          <w:tcPr>
            <w:tcW w:type="dxa" w:w="6500"/>
            <w:vAlign w:val="center"/>
          </w:tcPr>
          <w:p>
            <w:r>
              <w:rPr>
                <w:b w:val="false"/>
                <w:bCs w:val="false"/>
                <w:color w:val="000000"/>
                <w:sz w:val="20"/>
                <w:szCs w:val="20"/>
              </w:rPr>
              <w:t xml:space="preserve">Use the token migration process rather than adding a new token, since migrating replaces the token on the old device.</w:t>
            </w:r>
          </w:p>
        </w:tc>
      </w:tr>
    </w:tbl>
    <w:p>
      <w:pPr>
        <w:pStyle w:val="Heading1"/>
        <w:spacing w:after="160" w:before="320"/>
      </w:pPr>
      <w:r>
        <w:t xml:space="preserve">11. Best Practices</w:t>
      </w:r>
    </w:p>
    <w:p>
      <w:pPr>
        <w:pStyle w:val="ListParagraph"/>
        <w:numPr>
          <w:ilvl w:val="0"/>
          <w:numId w:val="2"/>
        </w:numPr>
        <w:spacing w:after="80"/>
      </w:pPr>
      <w:r>
        <w:t xml:space="preserve">Enable Microsoft Entra ID External MFA for Microsoft 365 and Azure rather than relying on Microsoft Authenticator alone, to centralize policy management.</w:t>
      </w:r>
    </w:p>
    <w:p>
      <w:pPr>
        <w:pStyle w:val="ListParagraph"/>
        <w:numPr>
          <w:ilvl w:val="0"/>
          <w:numId w:val="2"/>
        </w:numPr>
        <w:spacing w:after="80"/>
      </w:pPr>
      <w:r>
        <w:t xml:space="preserve">Use passkeys or push-based authentication where possible for phishing resistance, rather than OTP alone.</w:t>
      </w:r>
    </w:p>
    <w:p>
      <w:pPr>
        <w:pStyle w:val="ListParagraph"/>
        <w:numPr>
          <w:ilvl w:val="0"/>
          <w:numId w:val="2"/>
        </w:numPr>
        <w:spacing w:after="80"/>
      </w:pPr>
      <w:r>
        <w:t xml:space="preserve">Sync users from Active Directory or LDAP where feasible to reduce manual account management.</w:t>
      </w:r>
    </w:p>
    <w:p>
      <w:pPr>
        <w:pStyle w:val="ListParagraph"/>
        <w:numPr>
          <w:ilvl w:val="0"/>
          <w:numId w:val="2"/>
        </w:numPr>
        <w:spacing w:after="80"/>
      </w:pPr>
      <w:r>
        <w:t xml:space="preserve">Delete test or temporary AuthPoint users before syncing to a live authentication database.</w:t>
      </w:r>
    </w:p>
    <w:p>
      <w:pPr>
        <w:pStyle w:val="ListParagraph"/>
        <w:numPr>
          <w:ilvl w:val="0"/>
          <w:numId w:val="2"/>
        </w:numPr>
        <w:spacing w:after="80"/>
      </w:pPr>
      <w:r>
        <w:t xml:space="preserve">Promptly delete or reassign tokens for lost devices and departing employees.</w:t>
      </w:r>
    </w:p>
    <w:p>
      <w:pPr>
        <w:pStyle w:val="ListParagraph"/>
        <w:numPr>
          <w:ilvl w:val="0"/>
          <w:numId w:val="2"/>
        </w:numPr>
        <w:spacing w:after="80"/>
      </w:pPr>
      <w:r>
        <w:t xml:space="preserve">Use groups and authentication policies to apply the right level of MFA enforcement to the right resources.</w:t>
      </w:r>
    </w:p>
    <w:p>
      <w:pPr>
        <w:pStyle w:val="ListParagraph"/>
        <w:numPr>
          <w:ilvl w:val="0"/>
          <w:numId w:val="2"/>
        </w:numPr>
        <w:spacing w:after="80"/>
      </w:pPr>
      <w:r>
        <w:t xml:space="preserve">For MSPs, use WatchGuard Cloud's multi-tenant structure to standardize AuthPoint deployment across customer accounts.</w:t>
      </w:r>
    </w:p>
    <w:p>
      <w:pPr>
        <w:pStyle w:val="Heading1"/>
        <w:spacing w:after="160" w:before="320"/>
      </w:pPr>
      <w:r>
        <w:t xml:space="preserve">12. Frequently Asked Questions</w:t>
      </w:r>
    </w:p>
    <w:p>
      <w:pPr>
        <w:pStyle w:val="Heading2"/>
        <w:spacing w:after="120" w:before="240"/>
      </w:pPr>
      <w:r>
        <w:t xml:space="preserve">Q: What is the difference between an MFA user and a Non-MFA user?</w:t>
      </w:r>
    </w:p>
    <w:p>
      <w:pPr>
        <w:spacing w:after="140"/>
      </w:pPr>
      <w:r>
        <w:t xml:space="preserve">MFA users authenticate with AuthPoint and consume an AuthPoint user license. Non-MFA users, such as service accounts, authenticate only with a password and cannot access resources that require MFA.</w:t>
      </w:r>
    </w:p>
    <w:p>
      <w:pPr>
        <w:pStyle w:val="Heading2"/>
        <w:spacing w:after="120" w:before="240"/>
      </w:pPr>
      <w:r>
        <w:t xml:space="preserve">Q: How is AuthPoint different from Microsoft Authenticator?</w:t>
      </w:r>
    </w:p>
    <w:p>
      <w:pPr>
        <w:spacing w:after="140"/>
      </w:pPr>
      <w:r>
        <w:t xml:space="preserve">Microsoft Authenticator focuses on Microsoft environments. AuthPoint additionally covers VPN access, Windows and macOS logon, remote desktop, and third-party applications from a single platform, and gives MSPs multi-tenant management across customer accounts.</w:t>
      </w:r>
    </w:p>
    <w:p>
      <w:pPr>
        <w:pStyle w:val="Heading2"/>
        <w:spacing w:after="120" w:before="240"/>
      </w:pPr>
      <w:r>
        <w:t xml:space="preserve">Q: How quickly can AuthPoint be deployed?</w:t>
      </w:r>
    </w:p>
    <w:p>
      <w:pPr>
        <w:spacing w:after="140"/>
      </w:pPr>
      <w:r>
        <w:t xml:space="preserve">For cloud-only environments there is nothing to install on-premises. Administrators can configure users in WatchGuard Cloud, assign tokens, and begin protecting logins the same day.</w:t>
      </w:r>
    </w:p>
    <w:p>
      <w:pPr>
        <w:pStyle w:val="Heading2"/>
        <w:spacing w:after="120" w:before="240"/>
      </w:pPr>
      <w:r>
        <w:t xml:space="preserve">Q: Can a user use more than one device for authentication?</w:t>
      </w:r>
    </w:p>
    <w:p>
      <w:pPr>
        <w:spacing w:after="140"/>
      </w:pPr>
      <w:r>
        <w:t xml:space="preserve">Yes. A user can activate a separate WatchGuard token for each additional device, up to 20 WatchGuard tokens per user, and can approve a push notification from any of their active devices.</w:t>
      </w:r>
    </w:p>
    <w:p>
      <w:pPr>
        <w:pStyle w:val="Heading2"/>
        <w:spacing w:after="120" w:before="240"/>
      </w:pPr>
      <w:r>
        <w:t xml:space="preserve">Q: What happens if a user's phone is lost or replaced?</w:t>
      </w:r>
    </w:p>
    <w:p>
      <w:pPr>
        <w:spacing w:after="140"/>
      </w:pPr>
      <w:r>
        <w:t xml:space="preserve">An administrator can create a new token for the user (if there is no token already pending), which the user then activates on their new device. To move an existing token to a new device rather than adding another one, use the token migration process.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2026-07-10T06:01:40.916Z</dcterms:created>
  <dcterms:modified xsi:type="dcterms:W3CDTF">2026-07-10T06:01:40.916Z</dcterms:modified>
</cp:coreProperties>
</file>

<file path=docProps/custom.xml><?xml version="1.0" encoding="utf-8"?>
<Properties xmlns="http://schemas.openxmlformats.org/officeDocument/2006/custom-properties" xmlns:vt="http://schemas.openxmlformats.org/officeDocument/2006/docPropsVTypes"/>
</file>