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C00000"/>
          <w:sz w:val="30"/>
          <w:szCs w:val="30"/>
        </w:rPr>
        <w:t xml:space="preserve">WatchGuard Technologies</w:t>
      </w:r>
    </w:p>
    <w:p>
      <w:pPr>
        <w:spacing w:after="100"/>
        <w:jc w:val="center"/>
      </w:pPr>
      <w:r>
        <w:rPr>
          <w:b/>
          <w:bCs/>
          <w:color w:val="1F3864"/>
          <w:sz w:val="24"/>
          <w:szCs w:val="24"/>
        </w:rPr>
        <w:t xml:space="preserve">Endpoint Security</w:t>
      </w:r>
    </w:p>
    <w:p>
      <w:pPr>
        <w:spacing w:after="200" w:before="400"/>
        <w:jc w:val="center"/>
      </w:pPr>
      <w:r>
        <w:rPr>
          <w:b/>
          <w:bCs/>
          <w:sz w:val="56"/>
          <w:szCs w:val="56"/>
        </w:rPr>
        <w:t xml:space="preserve">Endpoint Security Prime</w:t>
      </w:r>
    </w:p>
    <w:p>
      <w:pPr>
        <w:spacing w:after="3000"/>
        <w:jc w:val="center"/>
      </w:pPr>
      <w:r>
        <w:rPr>
          <w:i/>
          <w:iCs/>
          <w:color w:val="444444"/>
          <w:sz w:val="26"/>
          <w:szCs w:val="26"/>
        </w:rPr>
        <w:t xml:space="preserve">AI-Powered Endpoint Detection and Response (EDR)</w:t>
      </w:r>
    </w:p>
    <w:p>
      <w:pPr>
        <w:jc w:val="center"/>
      </w:pPr>
      <w:r>
        <w:rPr>
          <w:color w:val="666666"/>
          <w:sz w:val="20"/>
          <w:szCs w:val="20"/>
        </w:rPr>
        <w:t xml:space="preserve">User Manual — Compiled from Official WatchGuard Documentation</w:t>
      </w:r>
    </w:p>
    <w:p>
      <w:pPr>
        <w:spacing w:after="0"/>
        <w:jc w:val="center"/>
      </w:pPr>
      <w:r>
        <w:rPr>
          <w:color w:val="666666"/>
          <w:sz w:val="20"/>
          <w:szCs w:val="20"/>
        </w:rPr>
        <w:t xml:space="preserve">July 2026</w:t>
      </w:r>
    </w:p>
    <w:p>
      <w:r>
        <w:br w:type="page"/>
      </w:r>
    </w:p>
    <w:p>
      <w:pPr>
        <w:pStyle w:val="Heading1"/>
        <w:spacing w:after="160" w:before="320"/>
      </w:pPr>
      <w:r>
        <w:t xml:space="preserve">1. Product Overview</w:t>
      </w:r>
    </w:p>
    <w:p>
      <w:pPr>
        <w:spacing w:after="140"/>
      </w:pPr>
      <w:r>
        <w:t xml:space="preserve">WatchGuard Endpoint Security Prime is an AI-powered endpoint protection and detection and response (EDR) solution. It combines proactive threat detection with automated, guided response actions, and is designed to deliver strong protection outcomes with reduced alert noise and manual effort.</w:t>
      </w:r>
    </w:p>
    <w:p>
      <w:pPr>
        <w:spacing w:after="140"/>
      </w:pPr>
      <w:r>
        <w:t xml:space="preserve">Prime sits in the middle of WatchGuard's Endpoint Security product line, which also includes Basic (foundational protection), 360 (adds Zero-Trust Application Service and lateral movement detection), and Elite (adds advanced investigation tools). All editions are deployed and managed with the same WatchGuard Agent and WatchGuard Cloud console.</w:t>
      </w:r>
    </w:p>
    <w:p>
      <w:pPr>
        <w:spacing w:after="140"/>
      </w:pPr>
      <w:r>
        <w:t xml:space="preserve">Prime is well suited to IT teams and MSP-managed environments that want automated detection and response along with clear incident visibility, without needing to run constant manual investigation.</w:t>
      </w:r>
    </w:p>
    <w:p>
      <w:pPr>
        <w:pStyle w:val="Heading1"/>
        <w:spacing w:after="160" w:before="320"/>
      </w:pPr>
      <w:r>
        <w:t xml:space="preserve">2. Key Features</w:t>
      </w:r>
    </w:p>
    <w:p>
      <w:pPr>
        <w:pStyle w:val="ListParagraph"/>
        <w:numPr>
          <w:ilvl w:val="0"/>
          <w:numId w:val="2"/>
        </w:numPr>
        <w:spacing w:after="80"/>
      </w:pPr>
      <w:r>
        <w:t xml:space="preserve">AI-powered EDR that continuously monitors endpoint activity to detect suspicious behavior and emerging threats.</w:t>
      </w:r>
    </w:p>
    <w:p>
      <w:pPr>
        <w:pStyle w:val="ListParagraph"/>
        <w:numPr>
          <w:ilvl w:val="0"/>
          <w:numId w:val="2"/>
        </w:numPr>
        <w:spacing w:after="80"/>
      </w:pPr>
      <w:r>
        <w:t xml:space="preserve">Clear incident visibility through intuitive dashboards and detailed timelines of what happened on an endpoint and why.</w:t>
      </w:r>
    </w:p>
    <w:p>
      <w:pPr>
        <w:pStyle w:val="ListParagraph"/>
        <w:numPr>
          <w:ilvl w:val="0"/>
          <w:numId w:val="2"/>
        </w:numPr>
        <w:spacing w:after="80"/>
      </w:pPr>
      <w:r>
        <w:t xml:space="preserve">Low-noise alerting that reduces false positives so security teams can focus on meaningful events.</w:t>
      </w:r>
    </w:p>
    <w:p>
      <w:pPr>
        <w:pStyle w:val="ListParagraph"/>
        <w:numPr>
          <w:ilvl w:val="0"/>
          <w:numId w:val="2"/>
        </w:numPr>
        <w:spacing w:after="80"/>
      </w:pPr>
      <w:r>
        <w:t xml:space="preserve">Root cause analysis with MITRE ATT&amp;CK-mapped detections, indicator-of-compromise (IoC) correlation, and attack lifecycle visualization.</w:t>
      </w:r>
    </w:p>
    <w:p>
      <w:pPr>
        <w:pStyle w:val="ListParagraph"/>
        <w:numPr>
          <w:ilvl w:val="0"/>
          <w:numId w:val="2"/>
        </w:numPr>
        <w:spacing w:after="80"/>
      </w:pPr>
      <w:r>
        <w:t xml:space="preserve">Centralized endpoint management: deploy and manage protection across all endpoints from a single WatchGuard Cloud console.</w:t>
      </w:r>
    </w:p>
    <w:p>
      <w:pPr>
        <w:pStyle w:val="ListParagraph"/>
        <w:numPr>
          <w:ilvl w:val="0"/>
          <w:numId w:val="2"/>
        </w:numPr>
        <w:spacing w:after="80"/>
      </w:pPr>
      <w:r>
        <w:t xml:space="preserve">Guided response actions and built-in workflows to help contain and remediate threats without deep security expertise.</w:t>
      </w:r>
    </w:p>
    <w:p>
      <w:pPr>
        <w:pStyle w:val="ListParagraph"/>
        <w:numPr>
          <w:ilvl w:val="0"/>
          <w:numId w:val="2"/>
        </w:numPr>
        <w:spacing w:after="80"/>
      </w:pPr>
      <w:r>
        <w:t xml:space="preserve">Attack surface reduction tools, including vulnerability assessment, discovery of unmanaged endpoints, firewall, device control, and web filtering.</w:t>
      </w:r>
    </w:p>
    <w:p>
      <w:pPr>
        <w:pStyle w:val="ListParagraph"/>
        <w:numPr>
          <w:ilvl w:val="0"/>
          <w:numId w:val="2"/>
        </w:numPr>
        <w:spacing w:after="80"/>
      </w:pPr>
      <w:r>
        <w:t xml:space="preserve">Endpoint isolation and response, anti-exploit detections, and ThreatSync XDR remediations.</w:t>
      </w:r>
    </w:p>
    <w:p>
      <w:pPr>
        <w:pStyle w:val="ListParagraph"/>
        <w:numPr>
          <w:ilvl w:val="0"/>
          <w:numId w:val="2"/>
        </w:numPr>
        <w:spacing w:after="80"/>
      </w:pPr>
      <w:r>
        <w:t xml:space="preserve">Compatible with WatchGuard's Managed Detection and Response (MDR) service for organizations that want a fully managed option.</w:t>
      </w:r>
    </w:p>
    <w:p>
      <w:pPr>
        <w:pStyle w:val="Heading2"/>
        <w:spacing w:after="120" w:before="240"/>
      </w:pPr>
      <w:r>
        <w:t xml:space="preserve">Endpoint Security Edition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600"/>
      </w:tblGrid>
      <w:tr>
        <w:tc>
          <w:tcPr>
            <w:tcW w:type="dxa" w:w="3200"/>
            <w:shd w:fill="1F3864" w:val="clear"/>
            <w:vAlign w:val="center"/>
          </w:tcPr>
          <w:p>
            <w:r>
              <w:rPr>
                <w:b/>
                <w:bCs/>
                <w:color w:val="FFFFFF"/>
                <w:sz w:val="20"/>
                <w:szCs w:val="20"/>
              </w:rPr>
              <w:t xml:space="preserve">Capability</w:t>
            </w:r>
          </w:p>
        </w:tc>
        <w:tc>
          <w:tcPr>
            <w:tcW w:type="dxa" w:w="1600"/>
            <w:shd w:fill="1F3864" w:val="clear"/>
            <w:vAlign w:val="center"/>
          </w:tcPr>
          <w:p>
            <w:r>
              <w:rPr>
                <w:b/>
                <w:bCs/>
                <w:color w:val="FFFFFF"/>
                <w:sz w:val="20"/>
                <w:szCs w:val="20"/>
              </w:rPr>
              <w:t xml:space="preserve">Basic</w:t>
            </w:r>
          </w:p>
        </w:tc>
        <w:tc>
          <w:tcPr>
            <w:tcW w:type="dxa" w:w="1600"/>
            <w:shd w:fill="1F3864" w:val="clear"/>
            <w:vAlign w:val="center"/>
          </w:tcPr>
          <w:p>
            <w:r>
              <w:rPr>
                <w:b/>
                <w:bCs/>
                <w:color w:val="FFFFFF"/>
                <w:sz w:val="20"/>
                <w:szCs w:val="20"/>
              </w:rPr>
              <w:t xml:space="preserve">Prime</w:t>
            </w:r>
          </w:p>
        </w:tc>
        <w:tc>
          <w:tcPr>
            <w:tcW w:type="dxa" w:w="1600"/>
            <w:shd w:fill="1F3864" w:val="clear"/>
            <w:vAlign w:val="center"/>
          </w:tcPr>
          <w:p>
            <w:r>
              <w:rPr>
                <w:b/>
                <w:bCs/>
                <w:color w:val="FFFFFF"/>
                <w:sz w:val="20"/>
                <w:szCs w:val="20"/>
              </w:rPr>
              <w:t xml:space="preserve">360</w:t>
            </w:r>
          </w:p>
        </w:tc>
        <w:tc>
          <w:tcPr>
            <w:tcW w:type="dxa" w:w="1600"/>
            <w:shd w:fill="1F3864" w:val="clear"/>
            <w:vAlign w:val="center"/>
          </w:tcPr>
          <w:p>
            <w:r>
              <w:rPr>
                <w:b/>
                <w:bCs/>
                <w:color w:val="FFFFFF"/>
                <w:sz w:val="20"/>
                <w:szCs w:val="20"/>
              </w:rPr>
              <w:t xml:space="preserve">Elite</w:t>
            </w:r>
          </w:p>
        </w:tc>
      </w:tr>
      <w:tr>
        <w:tc>
          <w:tcPr>
            <w:tcW w:type="dxa" w:w="3200"/>
            <w:vAlign w:val="center"/>
          </w:tcPr>
          <w:p>
            <w:r>
              <w:rPr>
                <w:b w:val="false"/>
                <w:bCs w:val="false"/>
                <w:color w:val="000000"/>
                <w:sz w:val="20"/>
                <w:szCs w:val="20"/>
              </w:rPr>
              <w:t xml:space="preserve">Attack Surface Reduction</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r>
      <w:tr>
        <w:tc>
          <w:tcPr>
            <w:tcW w:type="dxa" w:w="3200"/>
            <w:vAlign w:val="center"/>
          </w:tcPr>
          <w:p>
            <w:r>
              <w:rPr>
                <w:b w:val="false"/>
                <w:bCs w:val="false"/>
                <w:color w:val="000000"/>
                <w:sz w:val="20"/>
                <w:szCs w:val="20"/>
              </w:rPr>
              <w:t xml:space="preserve">Malware &amp; Ransomware Protection</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r>
      <w:tr>
        <w:tc>
          <w:tcPr>
            <w:tcW w:type="dxa" w:w="3200"/>
            <w:vAlign w:val="center"/>
          </w:tcPr>
          <w:p>
            <w:r>
              <w:rPr>
                <w:b w:val="false"/>
                <w:bCs w:val="false"/>
                <w:color w:val="000000"/>
                <w:sz w:val="20"/>
                <w:szCs w:val="20"/>
              </w:rPr>
              <w:t xml:space="preserve">AI-Powered Behavioral Threat Detections</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r>
      <w:tr>
        <w:tc>
          <w:tcPr>
            <w:tcW w:type="dxa" w:w="3200"/>
            <w:vAlign w:val="center"/>
          </w:tcPr>
          <w:p>
            <w:r>
              <w:rPr>
                <w:b w:val="false"/>
                <w:bCs w:val="false"/>
                <w:color w:val="000000"/>
                <w:sz w:val="20"/>
                <w:szCs w:val="20"/>
              </w:rPr>
              <w:t xml:space="preserve">Anti-Exploit Detections</w:t>
            </w:r>
          </w:p>
        </w:tc>
        <w:tc>
          <w:tcPr>
            <w:tcW w:type="dxa" w:w="1600"/>
            <w:vAlign w:val="center"/>
          </w:tcPr>
          <w:p>
            <w:r>
              <w:rPr>
                <w:b w:val="false"/>
                <w:bCs w:val="false"/>
                <w:color w:val="000000"/>
                <w:sz w:val="20"/>
                <w:szCs w:val="20"/>
              </w:rPr>
              <w:t xml:space="preserve">—</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r>
      <w:tr>
        <w:tc>
          <w:tcPr>
            <w:tcW w:type="dxa" w:w="3200"/>
            <w:vAlign w:val="center"/>
          </w:tcPr>
          <w:p>
            <w:r>
              <w:rPr>
                <w:b w:val="false"/>
                <w:bCs w:val="false"/>
                <w:color w:val="000000"/>
                <w:sz w:val="20"/>
                <w:szCs w:val="20"/>
              </w:rPr>
              <w:t xml:space="preserve">Endpoint Isolation &amp; Response</w:t>
            </w:r>
          </w:p>
        </w:tc>
        <w:tc>
          <w:tcPr>
            <w:tcW w:type="dxa" w:w="1600"/>
            <w:vAlign w:val="center"/>
          </w:tcPr>
          <w:p>
            <w:r>
              <w:rPr>
                <w:b w:val="false"/>
                <w:bCs w:val="false"/>
                <w:color w:val="000000"/>
                <w:sz w:val="20"/>
                <w:szCs w:val="20"/>
              </w:rPr>
              <w:t xml:space="preserve">—</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r>
      <w:tr>
        <w:tc>
          <w:tcPr>
            <w:tcW w:type="dxa" w:w="3200"/>
            <w:vAlign w:val="center"/>
          </w:tcPr>
          <w:p>
            <w:r>
              <w:rPr>
                <w:b w:val="false"/>
                <w:bCs w:val="false"/>
                <w:color w:val="000000"/>
                <w:sz w:val="20"/>
                <w:szCs w:val="20"/>
              </w:rPr>
              <w:t xml:space="preserve">MITRE ATT&amp;CK-Mapped Alerts &amp; Root Cause Analysis</w:t>
            </w:r>
          </w:p>
        </w:tc>
        <w:tc>
          <w:tcPr>
            <w:tcW w:type="dxa" w:w="1600"/>
            <w:vAlign w:val="center"/>
          </w:tcPr>
          <w:p>
            <w:r>
              <w:rPr>
                <w:b w:val="false"/>
                <w:bCs w:val="false"/>
                <w:color w:val="000000"/>
                <w:sz w:val="20"/>
                <w:szCs w:val="20"/>
              </w:rPr>
              <w:t xml:space="preserve">—</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r>
      <w:tr>
        <w:tc>
          <w:tcPr>
            <w:tcW w:type="dxa" w:w="3200"/>
            <w:vAlign w:val="center"/>
          </w:tcPr>
          <w:p>
            <w:r>
              <w:rPr>
                <w:b w:val="false"/>
                <w:bCs w:val="false"/>
                <w:color w:val="000000"/>
                <w:sz w:val="20"/>
                <w:szCs w:val="20"/>
              </w:rPr>
              <w:t xml:space="preserve">ThreatSync XDR Remediations</w:t>
            </w:r>
          </w:p>
        </w:tc>
        <w:tc>
          <w:tcPr>
            <w:tcW w:type="dxa" w:w="1600"/>
            <w:vAlign w:val="center"/>
          </w:tcPr>
          <w:p>
            <w:r>
              <w:rPr>
                <w:b w:val="false"/>
                <w:bCs w:val="false"/>
                <w:color w:val="000000"/>
                <w:sz w:val="20"/>
                <w:szCs w:val="20"/>
              </w:rPr>
              <w:t xml:space="preserve">—</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r>
      <w:tr>
        <w:tc>
          <w:tcPr>
            <w:tcW w:type="dxa" w:w="3200"/>
            <w:vAlign w:val="center"/>
          </w:tcPr>
          <w:p>
            <w:r>
              <w:rPr>
                <w:b w:val="false"/>
                <w:bCs w:val="false"/>
                <w:color w:val="000000"/>
                <w:sz w:val="20"/>
                <w:szCs w:val="20"/>
              </w:rPr>
              <w:t xml:space="preserve">Compatible with MDR Service</w:t>
            </w:r>
          </w:p>
        </w:tc>
        <w:tc>
          <w:tcPr>
            <w:tcW w:type="dxa" w:w="1600"/>
            <w:vAlign w:val="center"/>
          </w:tcPr>
          <w:p>
            <w:r>
              <w:rPr>
                <w:b w:val="false"/>
                <w:bCs w:val="false"/>
                <w:color w:val="000000"/>
                <w:sz w:val="20"/>
                <w:szCs w:val="20"/>
              </w:rPr>
              <w:t xml:space="preserve">—</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r>
      <w:tr>
        <w:tc>
          <w:tcPr>
            <w:tcW w:type="dxa" w:w="3200"/>
            <w:vAlign w:val="center"/>
          </w:tcPr>
          <w:p>
            <w:r>
              <w:rPr>
                <w:b w:val="false"/>
                <w:bCs w:val="false"/>
                <w:color w:val="000000"/>
                <w:sz w:val="20"/>
                <w:szCs w:val="20"/>
              </w:rPr>
              <w:t xml:space="preserve">Zero-Trust Application Service</w:t>
            </w:r>
          </w:p>
        </w:tc>
        <w:tc>
          <w:tcPr>
            <w:tcW w:type="dxa" w:w="1600"/>
            <w:vAlign w:val="center"/>
          </w:tcPr>
          <w:p>
            <w:r>
              <w:rPr>
                <w:b w:val="false"/>
                <w:bCs w:val="false"/>
                <w:color w:val="000000"/>
                <w:sz w:val="20"/>
                <w:szCs w:val="20"/>
              </w:rPr>
              <w:t xml:space="preserve">—</w:t>
            </w:r>
          </w:p>
        </w:tc>
        <w:tc>
          <w:tcPr>
            <w:tcW w:type="dxa" w:w="1600"/>
            <w:vAlign w:val="center"/>
          </w:tcPr>
          <w:p>
            <w:r>
              <w:rPr>
                <w:b w:val="false"/>
                <w:bCs w:val="false"/>
                <w:color w:val="000000"/>
                <w:sz w:val="20"/>
                <w:szCs w:val="20"/>
              </w:rPr>
              <w:t xml:space="preserve">—</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r>
      <w:tr>
        <w:tc>
          <w:tcPr>
            <w:tcW w:type="dxa" w:w="3200"/>
            <w:vAlign w:val="center"/>
          </w:tcPr>
          <w:p>
            <w:r>
              <w:rPr>
                <w:b w:val="false"/>
                <w:bCs w:val="false"/>
                <w:color w:val="000000"/>
                <w:sz w:val="20"/>
                <w:szCs w:val="20"/>
              </w:rPr>
              <w:t xml:space="preserve">Lateral Movement Detection &amp; Containment</w:t>
            </w:r>
          </w:p>
        </w:tc>
        <w:tc>
          <w:tcPr>
            <w:tcW w:type="dxa" w:w="1600"/>
            <w:vAlign w:val="center"/>
          </w:tcPr>
          <w:p>
            <w:r>
              <w:rPr>
                <w:b w:val="false"/>
                <w:bCs w:val="false"/>
                <w:color w:val="000000"/>
                <w:sz w:val="20"/>
                <w:szCs w:val="20"/>
              </w:rPr>
              <w:t xml:space="preserve">—</w:t>
            </w:r>
          </w:p>
        </w:tc>
        <w:tc>
          <w:tcPr>
            <w:tcW w:type="dxa" w:w="1600"/>
            <w:vAlign w:val="center"/>
          </w:tcPr>
          <w:p>
            <w:r>
              <w:rPr>
                <w:b w:val="false"/>
                <w:bCs w:val="false"/>
                <w:color w:val="000000"/>
                <w:sz w:val="20"/>
                <w:szCs w:val="20"/>
              </w:rPr>
              <w:t xml:space="preserve">—</w:t>
            </w:r>
          </w:p>
        </w:tc>
        <w:tc>
          <w:tcPr>
            <w:tcW w:type="dxa" w:w="1600"/>
            <w:vAlign w:val="center"/>
          </w:tcPr>
          <w:p>
            <w:r>
              <w:rPr>
                <w:b w:val="false"/>
                <w:bCs w:val="false"/>
                <w:color w:val="000000"/>
                <w:sz w:val="20"/>
                <w:szCs w:val="20"/>
              </w:rPr>
              <w:t xml:space="preserve">Yes</w:t>
            </w:r>
          </w:p>
        </w:tc>
        <w:tc>
          <w:tcPr>
            <w:tcW w:type="dxa" w:w="1600"/>
            <w:vAlign w:val="center"/>
          </w:tcPr>
          <w:p>
            <w:r>
              <w:rPr>
                <w:b w:val="false"/>
                <w:bCs w:val="false"/>
                <w:color w:val="000000"/>
                <w:sz w:val="20"/>
                <w:szCs w:val="20"/>
              </w:rPr>
              <w:t xml:space="preserve">Yes</w:t>
            </w:r>
          </w:p>
        </w:tc>
      </w:tr>
      <w:tr>
        <w:tc>
          <w:tcPr>
            <w:tcW w:type="dxa" w:w="3200"/>
            <w:vAlign w:val="center"/>
          </w:tcPr>
          <w:p>
            <w:r>
              <w:rPr>
                <w:b w:val="false"/>
                <w:bCs w:val="false"/>
                <w:color w:val="000000"/>
                <w:sz w:val="20"/>
                <w:szCs w:val="20"/>
              </w:rPr>
              <w:t xml:space="preserve">Advanced Investigation Tools</w:t>
            </w:r>
          </w:p>
        </w:tc>
        <w:tc>
          <w:tcPr>
            <w:tcW w:type="dxa" w:w="1600"/>
            <w:vAlign w:val="center"/>
          </w:tcPr>
          <w:p>
            <w:r>
              <w:rPr>
                <w:b w:val="false"/>
                <w:bCs w:val="false"/>
                <w:color w:val="000000"/>
                <w:sz w:val="20"/>
                <w:szCs w:val="20"/>
              </w:rPr>
              <w:t xml:space="preserve">—</w:t>
            </w:r>
          </w:p>
        </w:tc>
        <w:tc>
          <w:tcPr>
            <w:tcW w:type="dxa" w:w="1600"/>
            <w:vAlign w:val="center"/>
          </w:tcPr>
          <w:p>
            <w:r>
              <w:rPr>
                <w:b w:val="false"/>
                <w:bCs w:val="false"/>
                <w:color w:val="000000"/>
                <w:sz w:val="20"/>
                <w:szCs w:val="20"/>
              </w:rPr>
              <w:t xml:space="preserve">—</w:t>
            </w:r>
          </w:p>
        </w:tc>
        <w:tc>
          <w:tcPr>
            <w:tcW w:type="dxa" w:w="1600"/>
            <w:vAlign w:val="center"/>
          </w:tcPr>
          <w:p>
            <w:r>
              <w:rPr>
                <w:b w:val="false"/>
                <w:bCs w:val="false"/>
                <w:color w:val="000000"/>
                <w:sz w:val="20"/>
                <w:szCs w:val="20"/>
              </w:rPr>
              <w:t xml:space="preserve">—</w:t>
            </w:r>
          </w:p>
        </w:tc>
        <w:tc>
          <w:tcPr>
            <w:tcW w:type="dxa" w:w="1600"/>
            <w:vAlign w:val="center"/>
          </w:tcPr>
          <w:p>
            <w:r>
              <w:rPr>
                <w:b w:val="false"/>
                <w:bCs w:val="false"/>
                <w:color w:val="000000"/>
                <w:sz w:val="20"/>
                <w:szCs w:val="20"/>
              </w:rPr>
              <w:t xml:space="preserve">Yes</w:t>
            </w:r>
          </w:p>
        </w:tc>
      </w:tr>
    </w:tbl>
    <w:p>
      <w:pPr>
        <w:pStyle w:val="Heading1"/>
        <w:spacing w:after="160" w:before="320"/>
      </w:pPr>
      <w:r>
        <w:t xml:space="preserve">3. Hardware and Software Components</w:t>
      </w:r>
    </w:p>
    <w:p>
      <w:pPr>
        <w:pStyle w:val="ListParagraph"/>
        <w:numPr>
          <w:ilvl w:val="0"/>
          <w:numId w:val="2"/>
        </w:numPr>
        <w:spacing w:after="80"/>
      </w:pPr>
      <w:r>
        <w:t xml:space="preserve">WatchGuard Agent — the single agent used to deploy Endpoint Security, FireCloud, SSL VPN clients, and ThreatSync+ NDR collectors; it handles communication between the endpoint and WatchGuard Cloud and keeps installed software up to date.</w:t>
      </w:r>
    </w:p>
    <w:p>
      <w:pPr>
        <w:pStyle w:val="ListParagraph"/>
        <w:numPr>
          <w:ilvl w:val="0"/>
          <w:numId w:val="2"/>
        </w:numPr>
        <w:spacing w:after="80"/>
      </w:pPr>
      <w:r>
        <w:t xml:space="preserve">Endpoint Security protection module — installed by the WatchGuard Agent; provides antivirus, EDR, and the other protection capabilities included in the Prime license.</w:t>
      </w:r>
    </w:p>
    <w:p>
      <w:pPr>
        <w:pStyle w:val="ListParagraph"/>
        <w:numPr>
          <w:ilvl w:val="0"/>
          <w:numId w:val="2"/>
        </w:numPr>
        <w:spacing w:after="80"/>
      </w:pPr>
      <w:r>
        <w:t xml:space="preserve">WatchGuard Cloud console — used to license, deploy, configure groups and settings profiles, and monitor endpoints.</w:t>
      </w:r>
    </w:p>
    <w:p>
      <w:pPr>
        <w:pStyle w:val="ListParagraph"/>
        <w:numPr>
          <w:ilvl w:val="0"/>
          <w:numId w:val="2"/>
        </w:numPr>
        <w:spacing w:after="80"/>
      </w:pPr>
      <w:r>
        <w:t xml:space="preserve">Endpoint Security management UI (Configure &gt; Endpoint Security) — used for computer/device groups, settings profiles, and installer downloads.</w:t>
      </w:r>
    </w:p>
    <w:p>
      <w:pPr>
        <w:pStyle w:val="ListParagraph"/>
        <w:numPr>
          <w:ilvl w:val="0"/>
          <w:numId w:val="2"/>
        </w:numPr>
        <w:spacing w:after="80"/>
      </w:pPr>
      <w:r>
        <w:t xml:space="preserve">Supported endpoint platforms — Windows (x86 and ARM), macOS, Linux, Android, and iOS (the latter typically through the WatchGuard mobile device management integration).</w:t>
      </w:r>
    </w:p>
    <w:p>
      <w:pPr>
        <w:pStyle w:val="Heading1"/>
        <w:spacing w:after="160" w:before="320"/>
      </w:pPr>
      <w:r>
        <w:t xml:space="preserve">4. System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6600"/>
      </w:tblGrid>
      <w:tr>
        <w:tc>
          <w:tcPr>
            <w:tcW w:type="dxa" w:w="3300"/>
            <w:shd w:fill="1F3864" w:val="clear"/>
            <w:vAlign w:val="center"/>
          </w:tcPr>
          <w:p>
            <w:r>
              <w:rPr>
                <w:b/>
                <w:bCs/>
                <w:color w:val="FFFFFF"/>
                <w:sz w:val="20"/>
                <w:szCs w:val="20"/>
              </w:rPr>
              <w:t xml:space="preserve">Requirement</w:t>
            </w:r>
          </w:p>
        </w:tc>
        <w:tc>
          <w:tcPr>
            <w:tcW w:type="dxa" w:w="6600"/>
            <w:shd w:fill="1F3864" w:val="clear"/>
            <w:vAlign w:val="center"/>
          </w:tcPr>
          <w:p>
            <w:r>
              <w:rPr>
                <w:b/>
                <w:bCs/>
                <w:color w:val="FFFFFF"/>
                <w:sz w:val="20"/>
                <w:szCs w:val="20"/>
              </w:rPr>
              <w:t xml:space="preserve">Details</w:t>
            </w:r>
          </w:p>
        </w:tc>
      </w:tr>
      <w:tr>
        <w:tc>
          <w:tcPr>
            <w:tcW w:type="dxa" w:w="3300"/>
            <w:vAlign w:val="center"/>
          </w:tcPr>
          <w:p>
            <w:r>
              <w:rPr>
                <w:b w:val="false"/>
                <w:bCs w:val="false"/>
                <w:color w:val="000000"/>
                <w:sz w:val="20"/>
                <w:szCs w:val="20"/>
              </w:rPr>
              <w:t xml:space="preserve">WatchGuard Cloud account and license</w:t>
            </w:r>
          </w:p>
        </w:tc>
        <w:tc>
          <w:tcPr>
            <w:tcW w:type="dxa" w:w="6600"/>
            <w:vAlign w:val="center"/>
          </w:tcPr>
          <w:p>
            <w:r>
              <w:rPr>
                <w:b w:val="false"/>
                <w:bCs w:val="false"/>
                <w:color w:val="000000"/>
                <w:sz w:val="20"/>
                <w:szCs w:val="20"/>
              </w:rPr>
              <w:t xml:space="preserve">An account with an Endpoint Security Prime license, with endpoints allocated to the correct managed account (service providers).</w:t>
            </w:r>
          </w:p>
        </w:tc>
      </w:tr>
      <w:tr>
        <w:tc>
          <w:tcPr>
            <w:tcW w:type="dxa" w:w="3300"/>
            <w:vAlign w:val="center"/>
          </w:tcPr>
          <w:p>
            <w:r>
              <w:rPr>
                <w:b w:val="false"/>
                <w:bCs w:val="false"/>
                <w:color w:val="000000"/>
                <w:sz w:val="20"/>
                <w:szCs w:val="20"/>
              </w:rPr>
              <w:t xml:space="preserve">Operator permissions</w:t>
            </w:r>
          </w:p>
        </w:tc>
        <w:tc>
          <w:tcPr>
            <w:tcW w:type="dxa" w:w="6600"/>
            <w:vAlign w:val="center"/>
          </w:tcPr>
          <w:p>
            <w:r>
              <w:rPr>
                <w:b w:val="false"/>
                <w:bCs w:val="false"/>
                <w:color w:val="000000"/>
                <w:sz w:val="20"/>
                <w:szCs w:val="20"/>
              </w:rPr>
              <w:t xml:space="preserve">The operator role must include Add, Discover, and Delete Computers permissions to deploy and manage endpoints.</w:t>
            </w:r>
          </w:p>
        </w:tc>
      </w:tr>
      <w:tr>
        <w:tc>
          <w:tcPr>
            <w:tcW w:type="dxa" w:w="3300"/>
            <w:vAlign w:val="center"/>
          </w:tcPr>
          <w:p>
            <w:r>
              <w:rPr>
                <w:b w:val="false"/>
                <w:bCs w:val="false"/>
                <w:color w:val="000000"/>
                <w:sz w:val="20"/>
                <w:szCs w:val="20"/>
              </w:rPr>
              <w:t xml:space="preserve">Supported operating systems</w:t>
            </w:r>
          </w:p>
        </w:tc>
        <w:tc>
          <w:tcPr>
            <w:tcW w:type="dxa" w:w="6600"/>
            <w:vAlign w:val="center"/>
          </w:tcPr>
          <w:p>
            <w:r>
              <w:rPr>
                <w:b w:val="false"/>
                <w:bCs w:val="false"/>
                <w:color w:val="000000"/>
                <w:sz w:val="20"/>
                <w:szCs w:val="20"/>
              </w:rPr>
              <w:t xml:space="preserve">Windows (x86 or ARM), macOS, Linux (full installer required for outdated or offline distributions), Android, and iOS.</w:t>
            </w:r>
          </w:p>
        </w:tc>
      </w:tr>
      <w:tr>
        <w:tc>
          <w:tcPr>
            <w:tcW w:type="dxa" w:w="3300"/>
            <w:vAlign w:val="center"/>
          </w:tcPr>
          <w:p>
            <w:r>
              <w:rPr>
                <w:b w:val="false"/>
                <w:bCs w:val="false"/>
                <w:color w:val="000000"/>
                <w:sz w:val="20"/>
                <w:szCs w:val="20"/>
              </w:rPr>
              <w:t xml:space="preserve">Network access</w:t>
            </w:r>
          </w:p>
        </w:tc>
        <w:tc>
          <w:tcPr>
            <w:tcW w:type="dxa" w:w="6600"/>
            <w:vAlign w:val="center"/>
          </w:tcPr>
          <w:p>
            <w:r>
              <w:rPr>
                <w:b w:val="false"/>
                <w:bCs w:val="false"/>
                <w:color w:val="000000"/>
                <w:sz w:val="20"/>
                <w:szCs w:val="20"/>
              </w:rPr>
              <w:t xml:space="preserve">Endpoints must be able to reach the required WatchGuard Cloud URLs and ports; a corporate proxy can be configured for Windows computers if needed.</w:t>
            </w:r>
          </w:p>
        </w:tc>
      </w:tr>
      <w:tr>
        <w:tc>
          <w:tcPr>
            <w:tcW w:type="dxa" w:w="3300"/>
            <w:vAlign w:val="center"/>
          </w:tcPr>
          <w:p>
            <w:r>
              <w:rPr>
                <w:b w:val="false"/>
                <w:bCs w:val="false"/>
                <w:color w:val="000000"/>
                <w:sz w:val="20"/>
                <w:szCs w:val="20"/>
              </w:rPr>
              <w:t xml:space="preserve">Existing antivirus software</w:t>
            </w:r>
          </w:p>
        </w:tc>
        <w:tc>
          <w:tcPr>
            <w:tcW w:type="dxa" w:w="6600"/>
            <w:vAlign w:val="center"/>
          </w:tcPr>
          <w:p>
            <w:r>
              <w:rPr>
                <w:b w:val="false"/>
                <w:bCs w:val="false"/>
                <w:color w:val="000000"/>
                <w:sz w:val="20"/>
                <w:szCs w:val="20"/>
              </w:rPr>
              <w:t xml:space="preserve">Third-party antivirus can be removed automatically (for supported products) or left in place to coexist, with appropriate exclusions configured in both products.</w:t>
            </w:r>
          </w:p>
        </w:tc>
      </w:tr>
      <w:tr>
        <w:tc>
          <w:tcPr>
            <w:tcW w:type="dxa" w:w="3300"/>
            <w:vAlign w:val="center"/>
          </w:tcPr>
          <w:p>
            <w:r>
              <w:rPr>
                <w:b w:val="false"/>
                <w:bCs w:val="false"/>
                <w:color w:val="000000"/>
                <w:sz w:val="20"/>
                <w:szCs w:val="20"/>
              </w:rPr>
              <w:t xml:space="preserve">Licensing for all endpoints</w:t>
            </w:r>
          </w:p>
        </w:tc>
        <w:tc>
          <w:tcPr>
            <w:tcW w:type="dxa" w:w="6600"/>
            <w:vAlign w:val="center"/>
          </w:tcPr>
          <w:p>
            <w:r>
              <w:rPr>
                <w:b w:val="false"/>
                <w:bCs w:val="false"/>
                <w:color w:val="000000"/>
                <w:sz w:val="20"/>
                <w:szCs w:val="20"/>
              </w:rPr>
              <w:t xml:space="preserve">The WatchGuard Agent can be installed even without enough licenses for every device; unlicensed computers show inventory information but are not actively protected.</w:t>
            </w:r>
          </w:p>
        </w:tc>
      </w:tr>
    </w:tbl>
    <w:p>
      <w:pPr>
        <w:pStyle w:val="Heading1"/>
        <w:spacing w:after="160" w:before="320"/>
      </w:pPr>
      <w:r>
        <w:t xml:space="preserve">5. Installation</w:t>
      </w:r>
    </w:p>
    <w:p>
      <w:pPr>
        <w:pStyle w:val="Heading2"/>
        <w:spacing w:after="120" w:before="240"/>
      </w:pPr>
      <w:r>
        <w:t xml:space="preserve">5.1 Planning</w:t>
      </w:r>
    </w:p>
    <w:p>
      <w:pPr>
        <w:pStyle w:val="ListParagraph"/>
        <w:numPr>
          <w:ilvl w:val="0"/>
          <w:numId w:val="2"/>
        </w:numPr>
        <w:spacing w:after="80"/>
      </w:pPr>
      <w:r>
        <w:t xml:space="preserve">Log in to WatchGuard Cloud and allocate Endpoint Security Prime licenses to the managed account.</w:t>
      </w:r>
    </w:p>
    <w:p>
      <w:pPr>
        <w:pStyle w:val="ListParagraph"/>
        <w:numPr>
          <w:ilvl w:val="0"/>
          <w:numId w:val="2"/>
        </w:numPr>
        <w:spacing w:after="80"/>
      </w:pPr>
      <w:r>
        <w:t xml:space="preserve">Identify the physical and virtual Windows, macOS, Linux, Android, and iOS devices to protect, and confirm enough licenses are purchased.</w:t>
      </w:r>
    </w:p>
    <w:p>
      <w:pPr>
        <w:pStyle w:val="ListParagraph"/>
        <w:numPr>
          <w:ilvl w:val="0"/>
          <w:numId w:val="2"/>
        </w:numPr>
        <w:spacing w:after="80"/>
      </w:pPr>
      <w:r>
        <w:t xml:space="preserve">Plan endpoint groups and settings profiles before deployment, since the security policy applied to a computer depends on its group.</w:t>
      </w:r>
    </w:p>
    <w:p>
      <w:pPr>
        <w:pStyle w:val="ListParagraph"/>
        <w:numPr>
          <w:ilvl w:val="0"/>
          <w:numId w:val="2"/>
        </w:numPr>
        <w:spacing w:after="80"/>
      </w:pPr>
      <w:r>
        <w:t xml:space="preserve">If using third-party antivirus, decide whether to remove it automatically or configure exclusions so both products coexist.</w:t>
      </w:r>
    </w:p>
    <w:p>
      <w:pPr>
        <w:pStyle w:val="Heading2"/>
        <w:spacing w:after="120" w:before="240"/>
      </w:pPr>
      <w:r>
        <w:t xml:space="preserve">5.2 Download and Run the Installer</w:t>
      </w:r>
    </w:p>
    <w:p>
      <w:pPr>
        <w:pStyle w:val="ListParagraph"/>
        <w:numPr>
          <w:ilvl w:val="0"/>
          <w:numId w:val="2"/>
        </w:numPr>
        <w:spacing w:after="80"/>
      </w:pPr>
      <w:r>
        <w:t xml:space="preserve">1. In WatchGuard Cloud, select Configure &gt; Endpoint Security, then select Computers and click Add Computers.</w:t>
      </w:r>
    </w:p>
    <w:p>
      <w:pPr>
        <w:pStyle w:val="ListParagraph"/>
        <w:numPr>
          <w:ilvl w:val="0"/>
          <w:numId w:val="2"/>
        </w:numPr>
        <w:spacing w:after="80"/>
      </w:pPr>
      <w:r>
        <w:t xml:space="preserve">2. Select the target platform (Windows, macOS, Linux, Android, or iOS).</w:t>
      </w:r>
    </w:p>
    <w:p>
      <w:pPr>
        <w:pStyle w:val="ListParagraph"/>
        <w:numPr>
          <w:ilvl w:val="0"/>
          <w:numId w:val="2"/>
        </w:numPr>
        <w:spacing w:after="80"/>
      </w:pPr>
      <w:r>
        <w:t xml:space="preserve">3. Select the endpoint group to add the computer to; the assigned security policy depends on this group.</w:t>
      </w:r>
    </w:p>
    <w:p>
      <w:pPr>
        <w:pStyle w:val="ListParagraph"/>
        <w:numPr>
          <w:ilvl w:val="0"/>
          <w:numId w:val="2"/>
        </w:numPr>
        <w:spacing w:after="80"/>
      </w:pPr>
      <w:r>
        <w:t xml:space="preserve">4. Optionally set an expiration date for the Windows installer link.</w:t>
      </w:r>
    </w:p>
    <w:p>
      <w:pPr>
        <w:pStyle w:val="ListParagraph"/>
        <w:numPr>
          <w:ilvl w:val="0"/>
          <w:numId w:val="2"/>
        </w:numPr>
        <w:spacing w:after="80"/>
      </w:pPr>
      <w:r>
        <w:t xml:space="preserve">5. Click Download Installer, then run the installer on the target computer (double-click the file on Windows and macOS, or use a terminal on Linux).</w:t>
      </w:r>
    </w:p>
    <w:p>
      <w:pPr>
        <w:pStyle w:val="Heading2"/>
        <w:spacing w:after="120" w:before="240"/>
      </w:pPr>
      <w:r>
        <w:t xml:space="preserve">5.3 Alternative Deployment Methods</w:t>
      </w:r>
    </w:p>
    <w:p>
      <w:pPr>
        <w:pStyle w:val="ListParagraph"/>
        <w:numPr>
          <w:ilvl w:val="0"/>
          <w:numId w:val="2"/>
        </w:numPr>
        <w:spacing w:after="80"/>
      </w:pPr>
      <w:r>
        <w:t xml:space="preserve">Remote installation with discovery and deployment (Windows computers only).</w:t>
      </w:r>
    </w:p>
    <w:p>
      <w:pPr>
        <w:pStyle w:val="ListParagraph"/>
        <w:numPr>
          <w:ilvl w:val="0"/>
          <w:numId w:val="2"/>
        </w:numPr>
        <w:spacing w:after="80"/>
      </w:pPr>
      <w:r>
        <w:t xml:space="preserve">Command-line installation through Active Directory Group Policy Objects (GPO), using the WatchGuard Endpoint Security .msi package.</w:t>
      </w:r>
    </w:p>
    <w:p>
      <w:pPr>
        <w:pStyle w:val="ListParagraph"/>
        <w:numPr>
          <w:ilvl w:val="0"/>
          <w:numId w:val="2"/>
        </w:numPr>
        <w:spacing w:after="80"/>
      </w:pPr>
      <w:r>
        <w:t xml:space="preserve">A shareable download link that can be sent to users so they can self-install the agent.</w:t>
      </w:r>
    </w:p>
    <w:p>
      <w:pPr>
        <w:pStyle w:val="ListParagraph"/>
        <w:numPr>
          <w:ilvl w:val="0"/>
          <w:numId w:val="2"/>
        </w:numPr>
        <w:spacing w:after="80"/>
      </w:pPr>
      <w:r>
        <w:t xml:space="preserve">Automated deployment through a template or gold image for new computer provisioning.</w:t>
      </w:r>
    </w:p>
    <w:p>
      <w:pPr>
        <w:pBdr>
          <w:left w:val="single" w:color="1F3864" w:sz="12" w:space="8"/>
        </w:pBdr>
        <w:spacing w:after="140" w:before="100"/>
        <w:ind w:left="200"/>
      </w:pPr>
      <w:r>
        <w:rPr>
          <w:i/>
          <w:iCs/>
          <w:color w:val="555555"/>
        </w:rPr>
        <w:t xml:space="preserve">Note: The computer used to define a GPO for deployment cannot have the WatchGuard Agent installed; uninstall the agent first, then reinstall it after adding the GPO.</w:t>
      </w:r>
    </w:p>
    <w:p>
      <w:pPr>
        <w:pStyle w:val="Heading1"/>
        <w:spacing w:after="160" w:before="320"/>
      </w:pPr>
      <w:r>
        <w:t xml:space="preserve">6. Initial Setup</w:t>
      </w:r>
    </w:p>
    <w:p>
      <w:pPr>
        <w:pStyle w:val="ListParagraph"/>
        <w:numPr>
          <w:ilvl w:val="0"/>
          <w:numId w:val="2"/>
        </w:numPr>
        <w:spacing w:after="80"/>
      </w:pPr>
      <w:r>
        <w:t xml:space="preserve">After installation, the WatchGuard Agent performs agent integration, downloads the protection module and the latest malware signature file, and applies default or administrator-created settings.</w:t>
      </w:r>
    </w:p>
    <w:p>
      <w:pPr>
        <w:pStyle w:val="ListParagraph"/>
        <w:numPr>
          <w:ilvl w:val="0"/>
          <w:numId w:val="2"/>
        </w:numPr>
        <w:spacing w:after="80"/>
      </w:pPr>
      <w:r>
        <w:t xml:space="preserve">The endpoint appears on the Endpoints page (Monitor &gt; Endpoints) and in the Endpoint Security Computers list once installation completes.</w:t>
      </w:r>
    </w:p>
    <w:p>
      <w:pPr>
        <w:pStyle w:val="ListParagraph"/>
        <w:numPr>
          <w:ilvl w:val="0"/>
          <w:numId w:val="2"/>
        </w:numPr>
        <w:spacing w:after="80"/>
      </w:pPr>
      <w:r>
        <w:t xml:space="preserve">If a connectivity check fails, the agent reports which required URLs it could not reach, visible in the Agent Installation Console, Windows Event Viewer, or the Web Console.</w:t>
      </w:r>
    </w:p>
    <w:p>
      <w:pPr>
        <w:pStyle w:val="ListParagraph"/>
        <w:numPr>
          <w:ilvl w:val="0"/>
          <w:numId w:val="2"/>
        </w:numPr>
        <w:spacing w:after="80"/>
      </w:pPr>
      <w:r>
        <w:t xml:space="preserve">Confirm the endpoint is protected by checking its status and assigned license in the Endpoint Security management UI.</w:t>
      </w:r>
    </w:p>
    <w:p>
      <w:pPr>
        <w:pBdr>
          <w:left w:val="single" w:color="1F3864" w:sz="12" w:space="8"/>
        </w:pBdr>
        <w:spacing w:after="140" w:before="100"/>
        <w:ind w:left="200"/>
      </w:pPr>
      <w:r>
        <w:rPr>
          <w:i/>
          <w:iCs/>
          <w:color w:val="555555"/>
        </w:rPr>
        <w:t xml:space="preserve">Note: Endpoints added without an available license still show hardware and software inventory information but remain unprotected until a license is assigned.</w:t>
      </w:r>
    </w:p>
    <w:p>
      <w:pPr>
        <w:pStyle w:val="Heading1"/>
        <w:spacing w:after="160" w:before="320"/>
      </w:pPr>
      <w:r>
        <w:t xml:space="preserve">7. Basic Configuration</w:t>
      </w:r>
    </w:p>
    <w:p>
      <w:pPr>
        <w:pStyle w:val="ListParagraph"/>
        <w:numPr>
          <w:ilvl w:val="0"/>
          <w:numId w:val="2"/>
        </w:numPr>
        <w:spacing w:after="80"/>
      </w:pPr>
      <w:r>
        <w:t xml:space="preserve">Groups: organize computers into groups (Configure &gt; Endpoint Security &gt; Computers &gt; My Organization &gt; Add Group) so the correct settings profile and policies apply automatically.</w:t>
      </w:r>
    </w:p>
    <w:p>
      <w:pPr>
        <w:pStyle w:val="ListParagraph"/>
        <w:numPr>
          <w:ilvl w:val="0"/>
          <w:numId w:val="2"/>
        </w:numPr>
        <w:spacing w:after="80"/>
      </w:pPr>
      <w:r>
        <w:t xml:space="preserve">Settings profiles: create and assign settings profiles to control protection behavior for each group.</w:t>
      </w:r>
    </w:p>
    <w:p>
      <w:pPr>
        <w:pStyle w:val="ListParagraph"/>
        <w:numPr>
          <w:ilvl w:val="0"/>
          <w:numId w:val="2"/>
        </w:numPr>
        <w:spacing w:after="80"/>
      </w:pPr>
      <w:r>
        <w:t xml:space="preserve">Agent Deployment page: for accounts with multiple WatchGuard products (e.g., Endpoint Security and FireCloud), use Configure &gt; Agent Deployment to control which software the WatchGuard Agent installs at the group, sub-group, or endpoint level (Install or Do Not Install).</w:t>
      </w:r>
    </w:p>
    <w:p>
      <w:pPr>
        <w:pStyle w:val="ListParagraph"/>
        <w:numPr>
          <w:ilvl w:val="0"/>
          <w:numId w:val="2"/>
        </w:numPr>
        <w:spacing w:after="80"/>
      </w:pPr>
      <w:r>
        <w:t xml:space="preserve">Exclusions: if running alongside third-party antivirus, configure matching exclusions in both products to avoid conflicting detections.</w:t>
      </w:r>
    </w:p>
    <w:p>
      <w:pPr>
        <w:pStyle w:val="ListParagraph"/>
        <w:numPr>
          <w:ilvl w:val="0"/>
          <w:numId w:val="2"/>
        </w:numPr>
        <w:spacing w:after="80"/>
      </w:pPr>
      <w:r>
        <w:t xml:space="preserve">Proxy configuration: add a corporate proxy for Windows computers if endpoints reach the internet through a proxy server.</w:t>
      </w:r>
    </w:p>
    <w:p>
      <w:pPr>
        <w:pStyle w:val="ListParagraph"/>
        <w:numPr>
          <w:ilvl w:val="0"/>
          <w:numId w:val="2"/>
        </w:numPr>
        <w:spacing w:after="80"/>
      </w:pPr>
      <w:r>
        <w:t xml:space="preserve">MITRE ATT&amp;CK mapping and IoC correlation: review how detections map to the attack lifecycle to prioritize investigation.</w:t>
      </w:r>
    </w:p>
    <w:p>
      <w:pPr>
        <w:pStyle w:val="Heading1"/>
        <w:spacing w:after="160" w:before="320"/>
      </w:pPr>
      <w:r>
        <w:t xml:space="preserve">8. Common Use Cases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400"/>
        <w:gridCol w:w="6500"/>
      </w:tblGrid>
      <w:tr>
        <w:tc>
          <w:tcPr>
            <w:tcW w:type="dxa" w:w="3400"/>
            <w:shd w:fill="1F3864" w:val="clear"/>
            <w:vAlign w:val="center"/>
          </w:tcPr>
          <w:p>
            <w:r>
              <w:rPr>
                <w:b/>
                <w:bCs/>
                <w:color w:val="FFFFFF"/>
                <w:sz w:val="20"/>
                <w:szCs w:val="20"/>
              </w:rPr>
              <w:t xml:space="preserve">Use Case</w:t>
            </w:r>
          </w:p>
        </w:tc>
        <w:tc>
          <w:tcPr>
            <w:tcW w:type="dxa" w:w="6500"/>
            <w:shd w:fill="1F3864" w:val="clear"/>
            <w:vAlign w:val="center"/>
          </w:tcPr>
          <w:p>
            <w:r>
              <w:rPr>
                <w:b/>
                <w:bCs/>
                <w:color w:val="FFFFFF"/>
                <w:sz w:val="20"/>
                <w:szCs w:val="20"/>
              </w:rPr>
              <w:t xml:space="preserve">How Endpoint Security Prime Helps</w:t>
            </w:r>
          </w:p>
        </w:tc>
      </w:tr>
      <w:tr>
        <w:tc>
          <w:tcPr>
            <w:tcW w:type="dxa" w:w="3400"/>
            <w:vAlign w:val="center"/>
          </w:tcPr>
          <w:p>
            <w:r>
              <w:rPr>
                <w:b w:val="false"/>
                <w:bCs w:val="false"/>
                <w:color w:val="000000"/>
                <w:sz w:val="20"/>
                <w:szCs w:val="20"/>
              </w:rPr>
              <w:t xml:space="preserve">Ransomware and malware prevention</w:t>
            </w:r>
          </w:p>
        </w:tc>
        <w:tc>
          <w:tcPr>
            <w:tcW w:type="dxa" w:w="6500"/>
            <w:vAlign w:val="center"/>
          </w:tcPr>
          <w:p>
            <w:r>
              <w:rPr>
                <w:b w:val="false"/>
                <w:bCs w:val="false"/>
                <w:color w:val="000000"/>
                <w:sz w:val="20"/>
                <w:szCs w:val="20"/>
              </w:rPr>
              <w:t xml:space="preserve">AI-powered behavioral detection and anti-exploit protection stop threats before they escalate.</w:t>
            </w:r>
          </w:p>
        </w:tc>
      </w:tr>
      <w:tr>
        <w:tc>
          <w:tcPr>
            <w:tcW w:type="dxa" w:w="3400"/>
            <w:vAlign w:val="center"/>
          </w:tcPr>
          <w:p>
            <w:r>
              <w:rPr>
                <w:b w:val="false"/>
                <w:bCs w:val="false"/>
                <w:color w:val="000000"/>
                <w:sz w:val="20"/>
                <w:szCs w:val="20"/>
              </w:rPr>
              <w:t xml:space="preserve">Reducing analyst alert fatigue</w:t>
            </w:r>
          </w:p>
        </w:tc>
        <w:tc>
          <w:tcPr>
            <w:tcW w:type="dxa" w:w="6500"/>
            <w:vAlign w:val="center"/>
          </w:tcPr>
          <w:p>
            <w:r>
              <w:rPr>
                <w:b w:val="false"/>
                <w:bCs w:val="false"/>
                <w:color w:val="000000"/>
                <w:sz w:val="20"/>
                <w:szCs w:val="20"/>
              </w:rPr>
              <w:t xml:space="preserve">Low-noise alerting and guided response workflows cut down manual triage effort.</w:t>
            </w:r>
          </w:p>
        </w:tc>
      </w:tr>
      <w:tr>
        <w:tc>
          <w:tcPr>
            <w:tcW w:type="dxa" w:w="3400"/>
            <w:vAlign w:val="center"/>
          </w:tcPr>
          <w:p>
            <w:r>
              <w:rPr>
                <w:b w:val="false"/>
                <w:bCs w:val="false"/>
                <w:color w:val="000000"/>
                <w:sz w:val="20"/>
                <w:szCs w:val="20"/>
              </w:rPr>
              <w:t xml:space="preserve">Incident investigation</w:t>
            </w:r>
          </w:p>
        </w:tc>
        <w:tc>
          <w:tcPr>
            <w:tcW w:type="dxa" w:w="6500"/>
            <w:vAlign w:val="center"/>
          </w:tcPr>
          <w:p>
            <w:r>
              <w:rPr>
                <w:b w:val="false"/>
                <w:bCs w:val="false"/>
                <w:color w:val="000000"/>
                <w:sz w:val="20"/>
                <w:szCs w:val="20"/>
              </w:rPr>
              <w:t xml:space="preserve">MITRE ATT&amp;CK-mapped detections and attack lifecycle visualization show the full scope and origin of an incident.</w:t>
            </w:r>
          </w:p>
        </w:tc>
      </w:tr>
      <w:tr>
        <w:tc>
          <w:tcPr>
            <w:tcW w:type="dxa" w:w="3400"/>
            <w:vAlign w:val="center"/>
          </w:tcPr>
          <w:p>
            <w:r>
              <w:rPr>
                <w:b w:val="false"/>
                <w:bCs w:val="false"/>
                <w:color w:val="000000"/>
                <w:sz w:val="20"/>
                <w:szCs w:val="20"/>
              </w:rPr>
              <w:t xml:space="preserve">MSP-delivered managed security</w:t>
            </w:r>
          </w:p>
        </w:tc>
        <w:tc>
          <w:tcPr>
            <w:tcW w:type="dxa" w:w="6500"/>
            <w:vAlign w:val="center"/>
          </w:tcPr>
          <w:p>
            <w:r>
              <w:rPr>
                <w:b w:val="false"/>
                <w:bCs w:val="false"/>
                <w:color w:val="000000"/>
                <w:sz w:val="20"/>
                <w:szCs w:val="20"/>
              </w:rPr>
              <w:t xml:space="preserve">Centralized WatchGuard Cloud management and compatibility with WatchGuard's MDR service simplify multi-customer delivery.</w:t>
            </w:r>
          </w:p>
        </w:tc>
      </w:tr>
      <w:tr>
        <w:tc>
          <w:tcPr>
            <w:tcW w:type="dxa" w:w="3400"/>
            <w:vAlign w:val="center"/>
          </w:tcPr>
          <w:p>
            <w:r>
              <w:rPr>
                <w:b w:val="false"/>
                <w:bCs w:val="false"/>
                <w:color w:val="000000"/>
                <w:sz w:val="20"/>
                <w:szCs w:val="20"/>
              </w:rPr>
              <w:t xml:space="preserve">Mixed-OS environments</w:t>
            </w:r>
          </w:p>
        </w:tc>
        <w:tc>
          <w:tcPr>
            <w:tcW w:type="dxa" w:w="6500"/>
            <w:vAlign w:val="center"/>
          </w:tcPr>
          <w:p>
            <w:r>
              <w:rPr>
                <w:b w:val="false"/>
                <w:bCs w:val="false"/>
                <w:color w:val="000000"/>
                <w:sz w:val="20"/>
                <w:szCs w:val="20"/>
              </w:rPr>
              <w:t xml:space="preserve">Agent support across Windows, macOS, Linux, Android, and iOS covers heterogeneous fleets from one console.</w:t>
            </w:r>
          </w:p>
        </w:tc>
      </w:tr>
    </w:tbl>
    <w:p>
      <w:pPr>
        <w:pStyle w:val="Heading1"/>
        <w:spacing w:after="160" w:before="320"/>
      </w:pPr>
      <w:r>
        <w:t xml:space="preserve">9. Daily Operations</w:t>
      </w:r>
    </w:p>
    <w:p>
      <w:pPr>
        <w:pStyle w:val="ListParagraph"/>
        <w:numPr>
          <w:ilvl w:val="0"/>
          <w:numId w:val="2"/>
        </w:numPr>
        <w:spacing w:after="80"/>
      </w:pPr>
      <w:r>
        <w:t xml:space="preserve">Monitor endpoint status, last agent connection, and installed products from the Endpoints page in WatchGuard Cloud.</w:t>
      </w:r>
    </w:p>
    <w:p>
      <w:pPr>
        <w:pStyle w:val="ListParagraph"/>
        <w:numPr>
          <w:ilvl w:val="0"/>
          <w:numId w:val="2"/>
        </w:numPr>
        <w:spacing w:after="80"/>
      </w:pPr>
      <w:r>
        <w:t xml:space="preserve">Review new detections and alerts in the Endpoint Security dashboard, prioritizing incidents by MITRE ATT&amp;CK context.</w:t>
      </w:r>
    </w:p>
    <w:p>
      <w:pPr>
        <w:pStyle w:val="ListParagraph"/>
        <w:numPr>
          <w:ilvl w:val="0"/>
          <w:numId w:val="2"/>
        </w:numPr>
        <w:spacing w:after="80"/>
      </w:pPr>
      <w:r>
        <w:t xml:space="preserve">Use guided response actions to isolate, contain, or remediate affected endpoints.</w:t>
      </w:r>
    </w:p>
    <w:p>
      <w:pPr>
        <w:pStyle w:val="ListParagraph"/>
        <w:numPr>
          <w:ilvl w:val="0"/>
          <w:numId w:val="2"/>
        </w:numPr>
        <w:spacing w:after="80"/>
      </w:pPr>
      <w:r>
        <w:t xml:space="preserve">Check that endpoints continue to receive the latest signature files and protection module updates.</w:t>
      </w:r>
    </w:p>
    <w:p>
      <w:pPr>
        <w:pStyle w:val="ListParagraph"/>
        <w:numPr>
          <w:ilvl w:val="0"/>
          <w:numId w:val="2"/>
        </w:numPr>
        <w:spacing w:after="80"/>
      </w:pPr>
      <w:r>
        <w:t xml:space="preserve">Review and adjust group settings profiles as new device types or use cases are added.</w:t>
      </w:r>
    </w:p>
    <w:p>
      <w:pPr>
        <w:pStyle w:val="ListParagraph"/>
        <w:numPr>
          <w:ilvl w:val="0"/>
          <w:numId w:val="2"/>
        </w:numPr>
        <w:spacing w:after="80"/>
      </w:pPr>
      <w:r>
        <w:t xml:space="preserve">Export endpoint lists to CSV for reporting or license auditing as needed.</w:t>
      </w:r>
    </w:p>
    <w:p>
      <w:pPr>
        <w:pStyle w:val="Heading1"/>
        <w:spacing w:after="160" w:before="320"/>
      </w:pPr>
      <w:r>
        <w:t xml:space="preserve">10. Troubleshooting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400"/>
        <w:gridCol w:w="6500"/>
      </w:tblGrid>
      <w:tr>
        <w:tc>
          <w:tcPr>
            <w:tcW w:type="dxa" w:w="3400"/>
            <w:shd w:fill="1F3864" w:val="clear"/>
            <w:vAlign w:val="center"/>
          </w:tcPr>
          <w:p>
            <w:r>
              <w:rPr>
                <w:b/>
                <w:bCs/>
                <w:color w:val="FFFFFF"/>
                <w:sz w:val="20"/>
                <w:szCs w:val="20"/>
              </w:rPr>
              <w:t xml:space="preserve">Issue</w:t>
            </w:r>
          </w:p>
        </w:tc>
        <w:tc>
          <w:tcPr>
            <w:tcW w:type="dxa" w:w="6500"/>
            <w:shd w:fill="1F3864" w:val="clear"/>
            <w:vAlign w:val="center"/>
          </w:tcPr>
          <w:p>
            <w:r>
              <w:rPr>
                <w:b/>
                <w:bCs/>
                <w:color w:val="FFFFFF"/>
                <w:sz w:val="20"/>
                <w:szCs w:val="20"/>
              </w:rPr>
              <w:t xml:space="preserve">Recommended Action</w:t>
            </w:r>
          </w:p>
        </w:tc>
      </w:tr>
      <w:tr>
        <w:tc>
          <w:tcPr>
            <w:tcW w:type="dxa" w:w="3400"/>
            <w:vAlign w:val="center"/>
          </w:tcPr>
          <w:p>
            <w:r>
              <w:rPr>
                <w:b w:val="false"/>
                <w:bCs w:val="false"/>
                <w:color w:val="000000"/>
                <w:sz w:val="20"/>
                <w:szCs w:val="20"/>
              </w:rPr>
              <w:t xml:space="preserve">Endpoint shows as unprotected</w:t>
            </w:r>
          </w:p>
        </w:tc>
        <w:tc>
          <w:tcPr>
            <w:tcW w:type="dxa" w:w="6500"/>
            <w:vAlign w:val="center"/>
          </w:tcPr>
          <w:p>
            <w:r>
              <w:rPr>
                <w:b w:val="false"/>
                <w:bCs w:val="false"/>
                <w:color w:val="000000"/>
                <w:sz w:val="20"/>
                <w:szCs w:val="20"/>
              </w:rPr>
              <w:t xml:space="preserve">Confirm a license is assigned to the computer; unlicensed endpoints show inventory data only and are not actively protected.</w:t>
            </w:r>
          </w:p>
        </w:tc>
      </w:tr>
      <w:tr>
        <w:tc>
          <w:tcPr>
            <w:tcW w:type="dxa" w:w="3400"/>
            <w:vAlign w:val="center"/>
          </w:tcPr>
          <w:p>
            <w:r>
              <w:rPr>
                <w:b w:val="false"/>
                <w:bCs w:val="false"/>
                <w:color w:val="000000"/>
                <w:sz w:val="20"/>
                <w:szCs w:val="20"/>
              </w:rPr>
              <w:t xml:space="preserve">Agent cannot connect to WatchGuard Cloud</w:t>
            </w:r>
          </w:p>
        </w:tc>
        <w:tc>
          <w:tcPr>
            <w:tcW w:type="dxa" w:w="6500"/>
            <w:vAlign w:val="center"/>
          </w:tcPr>
          <w:p>
            <w:r>
              <w:rPr>
                <w:b w:val="false"/>
                <w:bCs w:val="false"/>
                <w:color w:val="000000"/>
                <w:sz w:val="20"/>
                <w:szCs w:val="20"/>
              </w:rPr>
              <w:t xml:space="preserve">Check the reported unreachable URLs in the Agent Installation Console, Event Viewer, or Web Console, and confirm required URLs and ports are accessible (configure a proxy if needed).</w:t>
            </w:r>
          </w:p>
        </w:tc>
      </w:tr>
      <w:tr>
        <w:tc>
          <w:tcPr>
            <w:tcW w:type="dxa" w:w="3400"/>
            <w:vAlign w:val="center"/>
          </w:tcPr>
          <w:p>
            <w:r>
              <w:rPr>
                <w:b w:val="false"/>
                <w:bCs w:val="false"/>
                <w:color w:val="000000"/>
                <w:sz w:val="20"/>
                <w:szCs w:val="20"/>
              </w:rPr>
              <w:t xml:space="preserve">Conflicts with existing antivirus</w:t>
            </w:r>
          </w:p>
        </w:tc>
        <w:tc>
          <w:tcPr>
            <w:tcW w:type="dxa" w:w="6500"/>
            <w:vAlign w:val="center"/>
          </w:tcPr>
          <w:p>
            <w:r>
              <w:rPr>
                <w:b w:val="false"/>
                <w:bCs w:val="false"/>
                <w:color w:val="000000"/>
                <w:sz w:val="20"/>
                <w:szCs w:val="20"/>
              </w:rPr>
              <w:t xml:space="preserve">Add matching exclusions in both Endpoint Security and the third-party product, or use the supported uninstaller list to remove the prior solution automatically.</w:t>
            </w:r>
          </w:p>
        </w:tc>
      </w:tr>
      <w:tr>
        <w:tc>
          <w:tcPr>
            <w:tcW w:type="dxa" w:w="3400"/>
            <w:vAlign w:val="center"/>
          </w:tcPr>
          <w:p>
            <w:r>
              <w:rPr>
                <w:b w:val="false"/>
                <w:bCs w:val="false"/>
                <w:color w:val="000000"/>
                <w:sz w:val="20"/>
                <w:szCs w:val="20"/>
              </w:rPr>
              <w:t xml:space="preserve">GPO deployment fails to add the package</w:t>
            </w:r>
          </w:p>
        </w:tc>
        <w:tc>
          <w:tcPr>
            <w:tcW w:type="dxa" w:w="6500"/>
            <w:vAlign w:val="center"/>
          </w:tcPr>
          <w:p>
            <w:r>
              <w:rPr>
                <w:b w:val="false"/>
                <w:bCs w:val="false"/>
                <w:color w:val="000000"/>
                <w:sz w:val="20"/>
                <w:szCs w:val="20"/>
              </w:rPr>
              <w:t xml:space="preserve">Confirm the computer defining the GPO does not have the WatchGuard Agent installed; uninstall it first, create the GPO, then reinstall the agent.</w:t>
            </w:r>
          </w:p>
        </w:tc>
      </w:tr>
      <w:tr>
        <w:tc>
          <w:tcPr>
            <w:tcW w:type="dxa" w:w="3400"/>
            <w:vAlign w:val="center"/>
          </w:tcPr>
          <w:p>
            <w:r>
              <w:rPr>
                <w:b w:val="false"/>
                <w:bCs w:val="false"/>
                <w:color w:val="000000"/>
                <w:sz w:val="20"/>
                <w:szCs w:val="20"/>
              </w:rPr>
              <w:t xml:space="preserve">Users see a warning about no antivirus during an upgrade</w:t>
            </w:r>
          </w:p>
        </w:tc>
        <w:tc>
          <w:tcPr>
            <w:tcW w:type="dxa" w:w="6500"/>
            <w:vAlign w:val="center"/>
          </w:tcPr>
          <w:p>
            <w:r>
              <w:rPr>
                <w:b w:val="false"/>
                <w:bCs w:val="false"/>
                <w:color w:val="000000"/>
                <w:sz w:val="20"/>
                <w:szCs w:val="20"/>
              </w:rPr>
              <w:t xml:space="preserve">This is expected during a protection module upgrade while the agent unregisters and re-registers with Windows Security; endpoints remain protected throughout.</w:t>
            </w:r>
          </w:p>
        </w:tc>
      </w:tr>
      <w:tr>
        <w:tc>
          <w:tcPr>
            <w:tcW w:type="dxa" w:w="3400"/>
            <w:vAlign w:val="center"/>
          </w:tcPr>
          <w:p>
            <w:r>
              <w:rPr>
                <w:b w:val="false"/>
                <w:bCs w:val="false"/>
                <w:color w:val="000000"/>
                <w:sz w:val="20"/>
                <w:szCs w:val="20"/>
              </w:rPr>
              <w:t xml:space="preserve">Installer shows as expired</w:t>
            </w:r>
          </w:p>
        </w:tc>
        <w:tc>
          <w:tcPr>
            <w:tcW w:type="dxa" w:w="6500"/>
            <w:vAlign w:val="center"/>
          </w:tcPr>
          <w:p>
            <w:r>
              <w:rPr>
                <w:b w:val="false"/>
                <w:bCs w:val="false"/>
                <w:color w:val="000000"/>
                <w:sz w:val="20"/>
                <w:szCs w:val="20"/>
              </w:rPr>
              <w:t xml:space="preserve">Download a new installer from WatchGuard Cloud, since installer links can be configured with an expiration date.</w:t>
            </w:r>
          </w:p>
        </w:tc>
      </w:tr>
    </w:tbl>
    <w:p>
      <w:pPr>
        <w:pStyle w:val="Heading1"/>
        <w:spacing w:after="160" w:before="320"/>
      </w:pPr>
      <w:r>
        <w:t xml:space="preserve">11. Best Practices</w:t>
      </w:r>
    </w:p>
    <w:p>
      <w:pPr>
        <w:pStyle w:val="ListParagraph"/>
        <w:numPr>
          <w:ilvl w:val="0"/>
          <w:numId w:val="2"/>
        </w:numPr>
        <w:spacing w:after="80"/>
      </w:pPr>
      <w:r>
        <w:t xml:space="preserve">Plan endpoint groups and settings profiles before mass deployment to ensure the right policies apply automatically.</w:t>
      </w:r>
    </w:p>
    <w:p>
      <w:pPr>
        <w:pStyle w:val="ListParagraph"/>
        <w:numPr>
          <w:ilvl w:val="0"/>
          <w:numId w:val="2"/>
        </w:numPr>
        <w:spacing w:after="80"/>
      </w:pPr>
      <w:r>
        <w:t xml:space="preserve">Use the Agent Deployment page to control product installation centrally when an account has more than one WatchGuard product license.</w:t>
      </w:r>
    </w:p>
    <w:p>
      <w:pPr>
        <w:pStyle w:val="ListParagraph"/>
        <w:numPr>
          <w:ilvl w:val="0"/>
          <w:numId w:val="2"/>
        </w:numPr>
        <w:spacing w:after="80"/>
      </w:pPr>
      <w:r>
        <w:t xml:space="preserve">Configure exclusions carefully when running alongside third-party antivirus to avoid false detections.</w:t>
      </w:r>
    </w:p>
    <w:p>
      <w:pPr>
        <w:pStyle w:val="ListParagraph"/>
        <w:numPr>
          <w:ilvl w:val="0"/>
          <w:numId w:val="2"/>
        </w:numPr>
        <w:spacing w:after="80"/>
      </w:pPr>
      <w:r>
        <w:t xml:space="preserve">Regularly review low-noise alerts and MITRE ATT&amp;CK-mapped incidents rather than relying solely on automated remediation.</w:t>
      </w:r>
    </w:p>
    <w:p>
      <w:pPr>
        <w:pStyle w:val="ListParagraph"/>
        <w:numPr>
          <w:ilvl w:val="0"/>
          <w:numId w:val="2"/>
        </w:numPr>
        <w:spacing w:after="80"/>
      </w:pPr>
      <w:r>
        <w:t xml:space="preserve">Keep enough licenses purchased for all devices you intend to protect, and monitor for unlicensed endpoints.</w:t>
      </w:r>
    </w:p>
    <w:p>
      <w:pPr>
        <w:pStyle w:val="ListParagraph"/>
        <w:numPr>
          <w:ilvl w:val="0"/>
          <w:numId w:val="2"/>
        </w:numPr>
        <w:spacing w:after="80"/>
      </w:pPr>
      <w:r>
        <w:t xml:space="preserve">Consider WatchGuard's MDR service if the organization needs 24x7 monitoring beyond what internal teams can provide.</w:t>
      </w:r>
    </w:p>
    <w:p>
      <w:pPr>
        <w:pStyle w:val="ListParagraph"/>
        <w:numPr>
          <w:ilvl w:val="0"/>
          <w:numId w:val="2"/>
        </w:numPr>
        <w:spacing w:after="80"/>
      </w:pPr>
      <w:r>
        <w:t xml:space="preserve">Test deployment methods (local installer, GPO, remote discovery) in a pilot group before an organization-wide rollout.</w:t>
      </w:r>
    </w:p>
    <w:p>
      <w:pPr>
        <w:pStyle w:val="Heading1"/>
        <w:spacing w:after="160" w:before="320"/>
      </w:pPr>
      <w:r>
        <w:t xml:space="preserve">12. Frequently Asked Questions</w:t>
      </w:r>
    </w:p>
    <w:p>
      <w:pPr>
        <w:pStyle w:val="Heading2"/>
        <w:spacing w:after="120" w:before="240"/>
      </w:pPr>
      <w:r>
        <w:t xml:space="preserve">Q: What is the difference between Endpoint Security Prime and 360 or Elite?</w:t>
      </w:r>
    </w:p>
    <w:p>
      <w:pPr>
        <w:spacing w:after="140"/>
      </w:pPr>
      <w:r>
        <w:t xml:space="preserve">Prime adds anti-exploit detection, endpoint isolation and response, MITRE ATT&amp;CK-mapped alerts, and ThreatSync XDR remediations on top of Basic. The 360 edition adds Zero-Trust Application Service and lateral movement detection and containment, while Elite adds advanced investigation tools on top of 360.</w:t>
      </w:r>
    </w:p>
    <w:p>
      <w:pPr>
        <w:pStyle w:val="Heading2"/>
        <w:spacing w:after="120" w:before="240"/>
      </w:pPr>
      <w:r>
        <w:t xml:space="preserve">Q: Can Endpoint Security Prime run alongside another antivirus product?</w:t>
      </w:r>
    </w:p>
    <w:p>
      <w:pPr>
        <w:spacing w:after="140"/>
      </w:pPr>
      <w:r>
        <w:t xml:space="preserve">Yes. You can either remove the existing antivirus automatically (for supported products) or configure exclusions in both products so they coexist without conflicting.</w:t>
      </w:r>
    </w:p>
    <w:p>
      <w:pPr>
        <w:pStyle w:val="Heading2"/>
        <w:spacing w:after="120" w:before="240"/>
      </w:pPr>
      <w:r>
        <w:t xml:space="preserve">Q: Does the WatchGuard Agent need to be reinstalled for every WatchGuard product?</w:t>
      </w:r>
    </w:p>
    <w:p>
      <w:pPr>
        <w:spacing w:after="140"/>
      </w:pPr>
      <w:r>
        <w:t xml:space="preserve">No. There is a single WatchGuard Agent for Endpoint Security products, FireCloud, SSL VPN clients, and ThreatSync+ NDR collectors; the Agent Deployment page controls which software it installs on each endpoint.</w:t>
      </w:r>
    </w:p>
    <w:p>
      <w:pPr>
        <w:pStyle w:val="Heading2"/>
        <w:spacing w:after="120" w:before="240"/>
      </w:pPr>
      <w:r>
        <w:t xml:space="preserve">Q: What happens if I don't have enough licenses for all my devices?</w:t>
      </w:r>
    </w:p>
    <w:p>
      <w:pPr>
        <w:spacing w:after="140"/>
      </w:pPr>
      <w:r>
        <w:t xml:space="preserve">You can still install the WatchGuard Agent on unlicensed computers. They display hardware and software inventory information but are not actively protected until a license is assigned.</w:t>
      </w:r>
    </w:p>
    <w:p>
      <w:pPr>
        <w:pStyle w:val="Heading2"/>
        <w:spacing w:after="120" w:before="240"/>
      </w:pPr>
      <w:r>
        <w:t xml:space="preserve">Q: Is Endpoint Security Prime compatible with a managed detection and response service?</w:t>
      </w:r>
    </w:p>
    <w:p>
      <w:pPr>
        <w:spacing w:after="140"/>
      </w:pPr>
      <w:r>
        <w:t xml:space="preserve">Yes. Endpoint Security Prime (along with 360 and Elite) is compatible with WatchGuard's Managed Detection and Response (MDR) service.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2026-07-10T06:04:20.487Z</dcterms:created>
  <dcterms:modified xsi:type="dcterms:W3CDTF">2026-07-10T06:04:20.487Z</dcterms:modified>
</cp:coreProperties>
</file>

<file path=docProps/custom.xml><?xml version="1.0" encoding="utf-8"?>
<Properties xmlns="http://schemas.openxmlformats.org/officeDocument/2006/custom-properties" xmlns:vt="http://schemas.openxmlformats.org/officeDocument/2006/docPropsVTypes"/>
</file>