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24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26.png" ContentType="image/png"/>
  <Override PartName="/word/media/rId72.png" ContentType="image/png"/>
  <Override PartName="/word/media/rId74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Author"/>
      </w:pPr>
      <w:r>
        <w:t xml:space="preserve">Крупенникова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1.Ознакомиться с теоретическим материалом.</w:t>
      </w:r>
      <w:r>
        <w:t xml:space="preserve"> </w:t>
      </w:r>
      <w:r>
        <w:t xml:space="preserve">2.Ознакомиться с редактором emacs.</w:t>
      </w:r>
      <w:r>
        <w:t xml:space="preserve"> </w:t>
      </w:r>
      <w:r>
        <w:t xml:space="preserve">3.Выполнить упражнения.</w:t>
      </w:r>
      <w:r>
        <w:t xml:space="preserve"> </w:t>
      </w:r>
      <w:r>
        <w:t xml:space="preserve">4.Ответить на контрольные вопросы.</w:t>
      </w:r>
    </w:p>
    <w:bookmarkEnd w:id="21"/>
    <w:bookmarkStart w:id="7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Откроем редактор Emacs с помощью команды «emacs&amp;» пути.</w:t>
      </w:r>
    </w:p>
    <w:p>
      <w:pPr>
        <w:pStyle w:val="CaptionedFigure"/>
      </w:pPr>
      <w:bookmarkStart w:id="23" w:name="fig:001"/>
      <w:r>
        <w:drawing>
          <wp:inline>
            <wp:extent cx="2679700" cy="596900"/>
            <wp:effectExtent b="0" l="0" r="0" t="0"/>
            <wp:docPr descr="Figure 1: Открытие редактор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Открытие редактора</w:t>
      </w:r>
    </w:p>
    <w:p>
      <w:pPr>
        <w:pStyle w:val="CaptionedFigure"/>
      </w:pPr>
      <w:bookmarkStart w:id="25" w:name="fig:002"/>
      <w:r>
        <w:drawing>
          <wp:inline>
            <wp:extent cx="5334000" cy="4994382"/>
            <wp:effectExtent b="0" l="0" r="0" t="0"/>
            <wp:docPr descr="Figure 2: Редактор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4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Редактор</w:t>
      </w:r>
    </w:p>
    <w:p>
      <w:pPr>
        <w:numPr>
          <w:ilvl w:val="0"/>
          <w:numId w:val="1002"/>
        </w:numPr>
        <w:pStyle w:val="Compact"/>
      </w:pPr>
      <w:r>
        <w:t xml:space="preserve">Создадим файл lab10.sh с помощью комбинации «Ctrl-x»«Ctrl-f».</w:t>
      </w:r>
    </w:p>
    <w:p>
      <w:pPr>
        <w:pStyle w:val="CaptionedFigure"/>
      </w:pPr>
      <w:bookmarkStart w:id="27" w:name="fig:003"/>
      <w:r>
        <w:drawing>
          <wp:inline>
            <wp:extent cx="5334000" cy="4993105"/>
            <wp:effectExtent b="0" l="0" r="0" t="0"/>
            <wp:docPr descr="Figure 3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3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Создание файла</w:t>
      </w:r>
    </w:p>
    <w:p>
      <w:pPr>
        <w:numPr>
          <w:ilvl w:val="0"/>
          <w:numId w:val="1003"/>
        </w:numPr>
        <w:pStyle w:val="Compact"/>
      </w:pPr>
      <w:r>
        <w:t xml:space="preserve">В открывшемся буфере наберем необходимый текст</w:t>
      </w:r>
    </w:p>
    <w:p>
      <w:pPr>
        <w:pStyle w:val="CaptionedFigure"/>
      </w:pPr>
      <w:bookmarkStart w:id="29" w:name="fig:004"/>
      <w:r>
        <w:drawing>
          <wp:inline>
            <wp:extent cx="1943100" cy="1879600"/>
            <wp:effectExtent b="0" l="0" r="0" t="0"/>
            <wp:docPr descr="Figure 4: Набор текст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Набор текста</w:t>
      </w:r>
    </w:p>
    <w:p>
      <w:pPr>
        <w:numPr>
          <w:ilvl w:val="0"/>
          <w:numId w:val="1004"/>
        </w:numPr>
        <w:pStyle w:val="Compact"/>
      </w:pPr>
      <w:r>
        <w:t xml:space="preserve">Сохраним файл с помощью комбинации «Ctrl-x»«Ctrl-s».</w:t>
      </w:r>
    </w:p>
    <w:p>
      <w:pPr>
        <w:pStyle w:val="FirstParagraph"/>
      </w:pPr>
      <w:r>
        <w:t xml:space="preserve">5.1) Вырежем одной командой целую строку («Сtrl-k»)</w:t>
      </w:r>
    </w:p>
    <w:p>
      <w:pPr>
        <w:pStyle w:val="CaptionedFigure"/>
      </w:pPr>
      <w:bookmarkStart w:id="31" w:name="fig:005"/>
      <w:r>
        <w:drawing>
          <wp:inline>
            <wp:extent cx="2108200" cy="1866900"/>
            <wp:effectExtent b="0" l="0" r="0" t="0"/>
            <wp:docPr descr="Figure 5: Вырезка строки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Вырезка строки</w:t>
      </w:r>
    </w:p>
    <w:p>
      <w:pPr>
        <w:pStyle w:val="BodyText"/>
      </w:pPr>
      <w:r>
        <w:t xml:space="preserve">5.2) Вставим эту строку в конец файла («Ctrl-y»)</w:t>
      </w:r>
    </w:p>
    <w:p>
      <w:pPr>
        <w:pStyle w:val="CaptionedFigure"/>
      </w:pPr>
      <w:bookmarkStart w:id="33" w:name="fig:006"/>
      <w:r>
        <w:drawing>
          <wp:inline>
            <wp:extent cx="1930400" cy="1803400"/>
            <wp:effectExtent b="0" l="0" r="0" t="0"/>
            <wp:docPr descr="Figure 6: Вставка строки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Вставка строки</w:t>
      </w:r>
    </w:p>
    <w:p>
      <w:pPr>
        <w:pStyle w:val="BodyText"/>
      </w:pPr>
      <w:r>
        <w:t xml:space="preserve">5.3) Выделим область текста («Ctrl-space»)</w:t>
      </w:r>
    </w:p>
    <w:p>
      <w:pPr>
        <w:pStyle w:val="CaptionedFigure"/>
      </w:pPr>
      <w:bookmarkStart w:id="35" w:name="fig:007"/>
      <w:r>
        <w:drawing>
          <wp:inline>
            <wp:extent cx="2044700" cy="1778000"/>
            <wp:effectExtent b="0" l="0" r="0" t="0"/>
            <wp:docPr descr="Figure 7: Выделение области текст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Выделение области текста</w:t>
      </w:r>
    </w:p>
    <w:p>
      <w:pPr>
        <w:pStyle w:val="BodyText"/>
      </w:pPr>
      <w:r>
        <w:t xml:space="preserve">5.4) Скопируем область в буфер обмена («Alt-w»).</w:t>
      </w:r>
      <w:r>
        <w:t xml:space="preserve"> </w:t>
      </w:r>
      <w:r>
        <w:t xml:space="preserve">5.5) Вставим область в конец файла(«Ctrl-y»)</w:t>
      </w:r>
    </w:p>
    <w:p>
      <w:pPr>
        <w:pStyle w:val="CaptionedFigure"/>
      </w:pPr>
      <w:bookmarkStart w:id="37" w:name="fig:008"/>
      <w:r>
        <w:drawing>
          <wp:inline>
            <wp:extent cx="2197100" cy="2463800"/>
            <wp:effectExtent b="0" l="0" r="0" t="0"/>
            <wp:docPr descr="Figure 8: Вставка области текст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Вставка области текста</w:t>
      </w:r>
    </w:p>
    <w:p>
      <w:pPr>
        <w:pStyle w:val="BodyText"/>
      </w:pPr>
      <w:r>
        <w:t xml:space="preserve">5.6) Вновь выделим эту область(«Ctrl-space»)</w:t>
      </w:r>
    </w:p>
    <w:p>
      <w:pPr>
        <w:pStyle w:val="CaptionedFigure"/>
      </w:pPr>
      <w:bookmarkStart w:id="39" w:name="fig:009"/>
      <w:r>
        <w:drawing>
          <wp:inline>
            <wp:extent cx="2387600" cy="2616200"/>
            <wp:effectExtent b="0" l="0" r="0" t="0"/>
            <wp:docPr descr="Figure 9: Выделение област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Выделение области</w:t>
      </w:r>
    </w:p>
    <w:p>
      <w:pPr>
        <w:pStyle w:val="BodyText"/>
      </w:pPr>
      <w:r>
        <w:t xml:space="preserve">и на этот раз вырежем её («Ctrl-w»)</w:t>
      </w:r>
    </w:p>
    <w:p>
      <w:pPr>
        <w:pStyle w:val="CaptionedFigure"/>
      </w:pPr>
      <w:bookmarkStart w:id="41" w:name="fig:010"/>
      <w:r>
        <w:drawing>
          <wp:inline>
            <wp:extent cx="2209800" cy="2235200"/>
            <wp:effectExtent b="0" l="0" r="0" t="0"/>
            <wp:docPr descr="Figure 10: Вырезка области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Вырезка области</w:t>
      </w:r>
    </w:p>
    <w:p>
      <w:pPr>
        <w:pStyle w:val="BodyText"/>
      </w:pPr>
      <w:r>
        <w:t xml:space="preserve">5.7) Отменим последнее действие («Ctrl-/»)</w:t>
      </w:r>
    </w:p>
    <w:p>
      <w:pPr>
        <w:pStyle w:val="CaptionedFigure"/>
      </w:pPr>
      <w:bookmarkStart w:id="43" w:name="fig:011"/>
      <w:r>
        <w:drawing>
          <wp:inline>
            <wp:extent cx="2362200" cy="2616200"/>
            <wp:effectExtent b="0" l="0" r="0" t="0"/>
            <wp:docPr descr="Figure 11: Отмена последнего действия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Отмена последнего действия</w:t>
      </w:r>
    </w:p>
    <w:p>
      <w:pPr>
        <w:pStyle w:val="BodyText"/>
      </w:pPr>
      <w:r>
        <w:t xml:space="preserve">6.1) Переместим курсор в начало строки («Ctrl-a»)</w:t>
      </w:r>
    </w:p>
    <w:p>
      <w:pPr>
        <w:pStyle w:val="BodyText"/>
      </w:pPr>
      <w:r>
        <w:t xml:space="preserve">6.2) Переместим курсор в конец строки («Ctrl-e»)</w:t>
      </w:r>
    </w:p>
    <w:p>
      <w:pPr>
        <w:pStyle w:val="BodyText"/>
      </w:pPr>
      <w:r>
        <w:t xml:space="preserve">6.3) Переместим курсор в начало буфера («Alt-&lt;»)</w:t>
      </w:r>
    </w:p>
    <w:p>
      <w:pPr>
        <w:pStyle w:val="CaptionedFigure"/>
      </w:pPr>
      <w:bookmarkStart w:id="45" w:name="fig:015"/>
      <w:r>
        <w:drawing>
          <wp:inline>
            <wp:extent cx="2235200" cy="2781300"/>
            <wp:effectExtent b="0" l="0" r="0" t="0"/>
            <wp:docPr descr="Figure 12: Курсор в начале буфер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Курсор в начале буфера</w:t>
      </w:r>
    </w:p>
    <w:p>
      <w:pPr>
        <w:pStyle w:val="BodyText"/>
      </w:pPr>
      <w:r>
        <w:t xml:space="preserve">6.4) Переместим курсор в конец буфера («Alt-&gt;»)</w:t>
      </w:r>
    </w:p>
    <w:p>
      <w:pPr>
        <w:pStyle w:val="CaptionedFigure"/>
      </w:pPr>
      <w:bookmarkStart w:id="47" w:name="fig:016"/>
      <w:r>
        <w:drawing>
          <wp:inline>
            <wp:extent cx="2222500" cy="2794000"/>
            <wp:effectExtent b="0" l="0" r="0" t="0"/>
            <wp:docPr descr="Figure 13: Курсор в конце буфер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Курсор в конце буфера</w:t>
      </w:r>
    </w:p>
    <w:p>
      <w:pPr>
        <w:pStyle w:val="BodyText"/>
      </w:pPr>
      <w:r>
        <w:t xml:space="preserve">7.1) Выведем список активных буферов на экран («Ctrl-x»«Ctrl-b»)</w:t>
      </w:r>
    </w:p>
    <w:p>
      <w:pPr>
        <w:pStyle w:val="CaptionedFigure"/>
      </w:pPr>
      <w:bookmarkStart w:id="49" w:name="fig:017"/>
      <w:r>
        <w:drawing>
          <wp:inline>
            <wp:extent cx="5334000" cy="5101166"/>
            <wp:effectExtent b="0" l="0" r="0" t="0"/>
            <wp:docPr descr="Figure 14: Список активных буферов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1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Список активных буферов</w:t>
      </w:r>
    </w:p>
    <w:p>
      <w:pPr>
        <w:pStyle w:val="BodyText"/>
      </w:pPr>
      <w:r>
        <w:t xml:space="preserve">7.2) Переместимся во вновь открытое окно («Ctrl-xo») со списком открытых буферов</w:t>
      </w:r>
    </w:p>
    <w:p>
      <w:pPr>
        <w:pStyle w:val="CaptionedFigure"/>
      </w:pPr>
      <w:bookmarkStart w:id="51" w:name="fig:018"/>
      <w:r>
        <w:drawing>
          <wp:inline>
            <wp:extent cx="5334000" cy="4875051"/>
            <wp:effectExtent b="0" l="0" r="0" t="0"/>
            <wp:docPr descr="Figure 15: Перемещение в окно со списком буферов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5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Перемещение в окно со списком буферов</w:t>
      </w:r>
    </w:p>
    <w:p>
      <w:pPr>
        <w:pStyle w:val="BodyText"/>
      </w:pPr>
      <w:r>
        <w:t xml:space="preserve">и переключимся на другой буфер(для этого необходимо нажать на «enter» после выбора необходимого буфера)</w:t>
      </w:r>
    </w:p>
    <w:p>
      <w:pPr>
        <w:pStyle w:val="CaptionedFigure"/>
      </w:pPr>
      <w:bookmarkStart w:id="53" w:name="fig:019"/>
      <w:r>
        <w:drawing>
          <wp:inline>
            <wp:extent cx="5334000" cy="5181600"/>
            <wp:effectExtent b="0" l="0" r="0" t="0"/>
            <wp:docPr descr="Figure 16: Переключение на другой буфер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Переключение на другой буфер</w:t>
      </w:r>
    </w:p>
    <w:p>
      <w:pPr>
        <w:pStyle w:val="BodyText"/>
      </w:pPr>
      <w:r>
        <w:t xml:space="preserve">7.3) Закроем это окно («Ctrl-x0»)</w:t>
      </w:r>
    </w:p>
    <w:p>
      <w:pPr>
        <w:pStyle w:val="CaptionedFigure"/>
      </w:pPr>
      <w:bookmarkStart w:id="55" w:name="fig:020"/>
      <w:r>
        <w:drawing>
          <wp:inline>
            <wp:extent cx="5334000" cy="5490528"/>
            <wp:effectExtent b="0" l="0" r="0" t="0"/>
            <wp:docPr descr="Figure 17: Закрытие окна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0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Закрытие окна</w:t>
      </w:r>
    </w:p>
    <w:p>
      <w:pPr>
        <w:pStyle w:val="BodyText"/>
      </w:pPr>
      <w:r>
        <w:t xml:space="preserve">7.4) Теперь вновь переключимся между буферами, но уже без вывода их списка на экран («Ctrl-x b»)</w:t>
      </w:r>
    </w:p>
    <w:p>
      <w:pPr>
        <w:pStyle w:val="CaptionedFigure"/>
      </w:pPr>
      <w:bookmarkStart w:id="57" w:name="fig:022"/>
      <w:r>
        <w:drawing>
          <wp:inline>
            <wp:extent cx="5334000" cy="5291328"/>
            <wp:effectExtent b="0" l="0" r="0" t="0"/>
            <wp:docPr descr="Figure 18: Переключение между буферами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1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Переключение между буферами</w:t>
      </w:r>
    </w:p>
    <w:p>
      <w:pPr>
        <w:pStyle w:val="BodyText"/>
      </w:pPr>
      <w:r>
        <w:t xml:space="preserve">8.1) Поделим фрейм на 4 части: разделим фрейм на два окна по вертикали («Ctrl-x 3»), а затем каждое из этих окон на две части по горизонтали («Ctrl-x 2»)</w:t>
      </w:r>
    </w:p>
    <w:p>
      <w:pPr>
        <w:pStyle w:val="CaptionedFigure"/>
      </w:pPr>
      <w:bookmarkStart w:id="59" w:name="fig:023"/>
      <w:r>
        <w:drawing>
          <wp:inline>
            <wp:extent cx="5334000" cy="2583980"/>
            <wp:effectExtent b="0" l="0" r="0" t="0"/>
            <wp:docPr descr="Figure 19: Деление фрейма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3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Деление фрейма</w:t>
      </w:r>
    </w:p>
    <w:p>
      <w:pPr>
        <w:pStyle w:val="CaptionedFigure"/>
      </w:pPr>
      <w:bookmarkStart w:id="61" w:name="fig:024"/>
      <w:r>
        <w:drawing>
          <wp:inline>
            <wp:extent cx="5334000" cy="2377440"/>
            <wp:effectExtent b="0" l="0" r="0" t="0"/>
            <wp:docPr descr="Figure 20: Деление фрейма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20: Деление фрейма</w:t>
      </w:r>
    </w:p>
    <w:p>
      <w:pPr>
        <w:pStyle w:val="CaptionedFigure"/>
      </w:pPr>
      <w:bookmarkStart w:id="63" w:name="fig:025"/>
      <w:r>
        <w:drawing>
          <wp:inline>
            <wp:extent cx="5334000" cy="2611542"/>
            <wp:effectExtent b="0" l="0" r="0" t="0"/>
            <wp:docPr descr="Figure 21: Деление фрейма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21: Деление фрейма</w:t>
      </w:r>
    </w:p>
    <w:p>
      <w:pPr>
        <w:pStyle w:val="BodyText"/>
      </w:pPr>
      <w:r>
        <w:t xml:space="preserve">8.2) В каждом из четырёх созданных окон откроем новый буфер (файл) и введемнесколько строк текста. Для этого предварительно создадим эти файлы с помощью команд «touchexample1.txt»,«touchexample2.txt», «touchexample3.txt», «touchexample4.txt»</w:t>
      </w:r>
    </w:p>
    <w:p>
      <w:pPr>
        <w:pStyle w:val="CaptionedFigure"/>
      </w:pPr>
      <w:bookmarkStart w:id="65" w:name="fig:026"/>
      <w:r>
        <w:drawing>
          <wp:inline>
            <wp:extent cx="3543300" cy="1066800"/>
            <wp:effectExtent b="0" l="0" r="0" t="0"/>
            <wp:docPr descr="Figure 22: Создание файлов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22: Создание файлов</w:t>
      </w:r>
    </w:p>
    <w:p>
      <w:pPr>
        <w:pStyle w:val="CaptionedFigure"/>
      </w:pPr>
      <w:bookmarkStart w:id="67" w:name="fig:027"/>
      <w:r>
        <w:drawing>
          <wp:inline>
            <wp:extent cx="2565400" cy="203200"/>
            <wp:effectExtent b="0" l="0" r="0" t="0"/>
            <wp:docPr descr="Figure 23: Открытие нового буфера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23: Открытие нового буфера</w:t>
      </w:r>
    </w:p>
    <w:p>
      <w:pPr>
        <w:pStyle w:val="CaptionedFigure"/>
      </w:pPr>
      <w:bookmarkStart w:id="69" w:name="fig:028"/>
      <w:r>
        <w:drawing>
          <wp:inline>
            <wp:extent cx="5334000" cy="2313420"/>
            <wp:effectExtent b="0" l="0" r="0" t="0"/>
            <wp:docPr descr="Figure 24: Вывод на экран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3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 24: Вывод на экран</w:t>
      </w:r>
    </w:p>
    <w:p>
      <w:pPr>
        <w:pStyle w:val="BodyText"/>
      </w:pPr>
      <w:r>
        <w:t xml:space="preserve">9.1) Переключимсяв режим поиска («Ctrl-s») и найдем несколько слов, присутствующих в тексте</w:t>
      </w:r>
    </w:p>
    <w:p>
      <w:pPr>
        <w:pStyle w:val="CaptionedFigure"/>
      </w:pPr>
      <w:bookmarkStart w:id="71" w:name="fig:029"/>
      <w:r>
        <w:drawing>
          <wp:inline>
            <wp:extent cx="5334000" cy="3712382"/>
            <wp:effectExtent b="0" l="0" r="0" t="0"/>
            <wp:docPr descr="Figure 25: Поиск слова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 25: Поиск слова</w:t>
      </w:r>
    </w:p>
    <w:p>
      <w:pPr>
        <w:pStyle w:val="CaptionedFigure"/>
      </w:pPr>
      <w:bookmarkStart w:id="73" w:name="fig:030"/>
      <w:r>
        <w:drawing>
          <wp:inline>
            <wp:extent cx="5334000" cy="3662611"/>
            <wp:effectExtent b="0" l="0" r="0" t="0"/>
            <wp:docPr descr="Figure 26: Поиск слов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2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 26: Поиск слова</w:t>
      </w:r>
    </w:p>
    <w:p>
      <w:pPr>
        <w:pStyle w:val="BodyText"/>
      </w:pPr>
      <w:r>
        <w:t xml:space="preserve">9.2) Переключимся между результатами поиска, нажимая «Ctrl-s»</w:t>
      </w:r>
    </w:p>
    <w:p>
      <w:pPr>
        <w:pStyle w:val="BodyText"/>
      </w:pPr>
      <w:r>
        <w:t xml:space="preserve">9.3) Выйдемиз режима поиска, нажав «Ctrl-g»</w:t>
      </w:r>
    </w:p>
    <w:p>
      <w:pPr>
        <w:pStyle w:val="BodyText"/>
      </w:pPr>
      <w:r>
        <w:t xml:space="preserve">9.4) Перейдем в режим поиска и замены («Alt-%»), введем текст, который следует найти и заменить, нажмем«enter», затем введем текст для замены. После того как будут подсвечены результаты поиска, нажмем «!» для подтверждения замены.Важно, чтобы курсор находился в начале текста.</w:t>
      </w:r>
    </w:p>
    <w:p>
      <w:pPr>
        <w:pStyle w:val="CaptionedFigure"/>
      </w:pPr>
      <w:bookmarkStart w:id="75" w:name="fig:034"/>
      <w:r>
        <w:drawing>
          <wp:inline>
            <wp:extent cx="5334000" cy="3785088"/>
            <wp:effectExtent b="0" l="0" r="0" t="0"/>
            <wp:docPr descr="Figure 27: Замен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5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 27: Замена</w:t>
      </w:r>
    </w:p>
    <w:p>
      <w:pPr>
        <w:pStyle w:val="BodyText"/>
      </w:pPr>
      <w:r>
        <w:t xml:space="preserve">9.5) Пробуемдругой режим поиска, нажав «Alt-so»</w:t>
      </w:r>
      <w:r>
        <w:t xml:space="preserve"> </w:t>
      </w:r>
      <w:r>
        <w:t xml:space="preserve">Данный вид поиска отличается от обычного тем, что тут считывается строка поиска, которая трактуется как регулярное выражение, и не осуществляется поиск точного совпадения в тексте буфера.Регулярное выражение − это образец, который обозначает набор строк, возможно, и неограниченный набор.</w:t>
      </w:r>
    </w:p>
    <w:bookmarkEnd w:id="76"/>
    <w:bookmarkStart w:id="77" w:name="контрольные-вопросы"/>
    <w:p>
      <w:pPr>
        <w:pStyle w:val="Heading1"/>
      </w:pPr>
      <w:r>
        <w:t xml:space="preserve">Контрольные вопросы:</w:t>
      </w:r>
    </w:p>
    <w:p>
      <w:pPr>
        <w:pStyle w:val="FirstParagraph"/>
      </w:pPr>
      <w:r>
        <w:t xml:space="preserve">1)Emacs −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быть: текстовым редактором; программой для чтения почты и новостей Usenet; интегрированной средой разработки (IDE); операционной системой и т.д. 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</w:t>
      </w:r>
      <w:r>
        <w:t xml:space="preserve"> </w:t>
      </w:r>
      <w:r>
        <w:t xml:space="preserve">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дни,написана на языке Lisp.</w:t>
      </w:r>
    </w:p>
    <w:p>
      <w:pPr>
        <w:pStyle w:val="BodyText"/>
      </w:pPr>
      <w:r>
        <w:t xml:space="preserve">2)Основную трудность для новичков при освоенииданного редактора могутсоставлять большое количество команд, комбинаций клавиш, которые не получится все запомнить с первого раза и поэтоупридется часто обращаться к справочным материалам.</w:t>
      </w:r>
    </w:p>
    <w:p>
      <w:pPr>
        <w:pStyle w:val="BodyText"/>
      </w:pPr>
      <w:r>
        <w:t xml:space="preserve">3)Буфер –это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буфера.Окно –это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Emacsи окна графической среды XWindow–разные вещи. Одно окно XWindowможет быть разбито на несколько окон в смысле Emacs, в каждом из которых отображается отдельный буфер.</w:t>
      </w:r>
      <w:r>
        <w:t xml:space="preserve"> </w:t>
      </w:r>
      <w:r>
        <w:t xml:space="preserve">4)Да, можно.</w:t>
      </w:r>
    </w:p>
    <w:p>
      <w:pPr>
        <w:pStyle w:val="BodyText"/>
      </w:pPr>
      <w:r>
        <w:t xml:space="preserve">5)При запуске Emacsпо умолчанию создаются следующие буферы: «scratch»(буфер для несохраненного текста) «Messages»(журнал ошибок, включающий такжеинформацию, которая появляется в области EchoArea) «GNUEmacs»(справочный буфер о редакторе)</w:t>
      </w:r>
    </w:p>
    <w:p>
      <w:pPr>
        <w:pStyle w:val="BodyText"/>
      </w:pPr>
      <w:r>
        <w:t xml:space="preserve">6)C-c |сначала, удерживая «ctrl»,нажимаю «c»,после –отпускаюобе клавишии нажимаю «|» C-cC-|сначала, удерживая «ctrl»,нажимаю «с», после –отпускаю обе клавиши и, удерживая «ctrl», нажимаю «|»</w:t>
      </w:r>
    </w:p>
    <w:p>
      <w:pPr>
        <w:pStyle w:val="BodyText"/>
      </w:pPr>
      <w:r>
        <w:t xml:space="preserve">7)Чтобы поделить окно на две части необходимо воспользоваться комбинацией «Ctrl-x 3»(по вертикали) или «Ctrl-x 2» (по горизонтали).</w:t>
      </w:r>
    </w:p>
    <w:p>
      <w:pPr>
        <w:pStyle w:val="BodyText"/>
      </w:pPr>
      <w:r>
        <w:t xml:space="preserve">8)Настройки Emacsхранятся в файле .emacs.</w:t>
      </w:r>
      <w:r>
        <w:t xml:space="preserve"> </w:t>
      </w:r>
      <w:r>
        <w:t xml:space="preserve">9)По умолчанию клавиша «←» удаляет символперед курсором, нов редакторе её можно переназначить. Для этого необхдимоизменить конфигурацию файла .emacs.</w:t>
      </w:r>
      <w:r>
        <w:t xml:space="preserve"> </w:t>
      </w:r>
      <w:r>
        <w:t xml:space="preserve">10)Более удобным я считаю редактор emacs, потому чтов нем проще открывать другие файлы, можно использовать сразу несколько окон, нет «Командногорежима», «Режима ввода», «Режима командной строки», которые являются немного непривычными и в какой-то степени неудобными.</w:t>
      </w:r>
    </w:p>
    <w:bookmarkEnd w:id="77"/>
    <w:bookmarkStart w:id="7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познакомилась с операционной системой Linux и получила практические навыки работы с редактором Emacs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ea454b4c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71315dca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47261bad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b3cbbdee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24" Target="media/rId24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26" Target="media/rId26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Операционные системы</dc:title>
  <dc:creator>Крупенникова Виктория Александровна</dc:creator>
  <dc:language>ru-RU</dc:language>
  <cp:keywords/>
  <dcterms:created xsi:type="dcterms:W3CDTF">2021-05-20T08:55:58Z</dcterms:created>
  <dcterms:modified xsi:type="dcterms:W3CDTF">2021-05-20T08:55:58Z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&lt;!--lof">
    <vt:lpwstr>True</vt:lpwstr>
  </property>
  <property fmtid="{D5CDD505-2E9C-101B-9397-08002B2CF9AE}" pid="3" name="&lt;--!lot">
    <vt:lpwstr>True</vt:lpwstr>
  </property>
  <property fmtid="{D5CDD505-2E9C-101B-9397-08002B2CF9AE}" pid="4" name="autoEqnLabels">
    <vt:lpwstr>False</vt:lpwstr>
  </property>
  <property fmtid="{D5CDD505-2E9C-101B-9397-08002B2CF9AE}" pid="5" name="autoSectionLabels">
    <vt:lpwstr>False</vt:lpwstr>
  </property>
  <property fmtid="{D5CDD505-2E9C-101B-9397-08002B2CF9AE}" pid="6" name="ccsDelim">
    <vt:lpwstr>, </vt:lpwstr>
  </property>
  <property fmtid="{D5CDD505-2E9C-101B-9397-08002B2CF9AE}" pid="7" name="ccsLabelSep">
    <vt:lpwstr> — </vt:lpwstr>
  </property>
  <property fmtid="{D5CDD505-2E9C-101B-9397-08002B2CF9AE}" pid="8" name="ccsTemplate">
    <vt:lpwstr>iccsLabelSept</vt:lpwstr>
  </property>
  <property fmtid="{D5CDD505-2E9C-101B-9397-08002B2CF9AE}" pid="9" name="chapDelim">
    <vt:lpwstr>.</vt:lpwstr>
  </property>
  <property fmtid="{D5CDD505-2E9C-101B-9397-08002B2CF9AE}" pid="10" name="chapters">
    <vt:lpwstr>False</vt:lpwstr>
  </property>
  <property fmtid="{D5CDD505-2E9C-101B-9397-08002B2CF9AE}" pid="11" name="chaptersDepth">
    <vt:lpwstr>1</vt:lpwstr>
  </property>
  <property fmtid="{D5CDD505-2E9C-101B-9397-08002B2CF9AE}" pid="12" name="codeBlockCaptions">
    <vt:lpwstr>False</vt:lpwstr>
  </property>
  <property fmtid="{D5CDD505-2E9C-101B-9397-08002B2CF9AE}" pid="13" name="cref">
    <vt:lpwstr>False</vt:lpwstr>
  </property>
  <property fmtid="{D5CDD505-2E9C-101B-9397-08002B2CF9AE}" pid="14" name="crossrefYaml">
    <vt:lpwstr>pandoc-crossref.yaml</vt:lpwstr>
  </property>
  <property fmtid="{D5CDD505-2E9C-101B-9397-08002B2CF9AE}" pid="15" name="documentclass">
    <vt:lpwstr>scrreprt</vt:lpwstr>
  </property>
  <property fmtid="{D5CDD505-2E9C-101B-9397-08002B2CF9AE}" pid="16" name="eqLabels">
    <vt:lpwstr>arabic</vt:lpwstr>
  </property>
  <property fmtid="{D5CDD505-2E9C-101B-9397-08002B2CF9AE}" pid="17" name="eqnPrefix">
    <vt:lpwstr/>
  </property>
  <property fmtid="{D5CDD505-2E9C-101B-9397-08002B2CF9AE}" pid="18" name="eqnPrefixTemplate">
    <vt:lpwstr>p i</vt:lpwstr>
  </property>
  <property fmtid="{D5CDD505-2E9C-101B-9397-08002B2CF9AE}" pid="19" name="figLabels">
    <vt:lpwstr>arabic</vt:lpwstr>
  </property>
  <property fmtid="{D5CDD505-2E9C-101B-9397-08002B2CF9AE}" pid="20" name="figPrefix">
    <vt:lpwstr/>
  </property>
  <property fmtid="{D5CDD505-2E9C-101B-9397-08002B2CF9AE}" pid="21" name="figPrefixTemplate">
    <vt:lpwstr>p i</vt:lpwstr>
  </property>
  <property fmtid="{D5CDD505-2E9C-101B-9397-08002B2CF9AE}" pid="22" name="figureTemplate">
    <vt:lpwstr>figureTitle ititleDelim t</vt:lpwstr>
  </property>
  <property fmtid="{D5CDD505-2E9C-101B-9397-08002B2CF9AE}" pid="23" name="figureTitle">
    <vt:lpwstr>Figure</vt:lpwstr>
  </property>
  <property fmtid="{D5CDD505-2E9C-101B-9397-08002B2CF9AE}" pid="24" name="fontsize">
    <vt:lpwstr>12pt</vt:lpwstr>
  </property>
  <property fmtid="{D5CDD505-2E9C-101B-9397-08002B2CF9AE}" pid="25" name="header-includes">
    <vt:lpwstr/>
  </property>
  <property fmtid="{D5CDD505-2E9C-101B-9397-08002B2CF9AE}" pid="26" name="indent">
    <vt:lpwstr>True</vt:lpwstr>
  </property>
  <property fmtid="{D5CDD505-2E9C-101B-9397-08002B2CF9AE}" pid="27" name="lastDelim">
    <vt:lpwstr>, </vt:lpwstr>
  </property>
  <property fmtid="{D5CDD505-2E9C-101B-9397-08002B2CF9AE}" pid="28" name="linestretch">
    <vt:lpwstr>1.5</vt:lpwstr>
  </property>
  <property fmtid="{D5CDD505-2E9C-101B-9397-08002B2CF9AE}" pid="29" name="linkReferences">
    <vt:lpwstr>False</vt:lpwstr>
  </property>
  <property fmtid="{D5CDD505-2E9C-101B-9397-08002B2CF9AE}" pid="30" name="listingTemplate">
    <vt:lpwstr>listingTitle ititleDelim t</vt:lpwstr>
  </property>
  <property fmtid="{D5CDD505-2E9C-101B-9397-08002B2CF9AE}" pid="31" name="listingTitle">
    <vt:lpwstr>Listing</vt:lpwstr>
  </property>
  <property fmtid="{D5CDD505-2E9C-101B-9397-08002B2CF9AE}" pid="32" name="listings">
    <vt:lpwstr>False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Лабораторная работа №10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