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Julia[</w:t>
      </w:r>
      <w:r>
        <w:t xml:space="preserve">[1]</w:t>
      </w:r>
      <w:r>
        <w:t xml:space="preserve">]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под свою операционную систему Julia, Jupyter.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работы.</w:t>
      </w:r>
    </w:p>
    <w:bookmarkEnd w:id="20"/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6" w:name="подготовка-инструментария-к-работ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инструментария к работе</w:t>
      </w:r>
    </w:p>
    <w:p>
      <w:pPr>
        <w:pStyle w:val="FirstParagraph"/>
      </w:pPr>
      <w:r>
        <w:t xml:space="preserve">На моем компьютере ранее уже была установлена Julia для выполнения работ по</w:t>
      </w:r>
      <w:r>
        <w:t xml:space="preserve"> </w:t>
      </w:r>
      <w:r>
        <w:t xml:space="preserve">“</w:t>
      </w:r>
      <w:r>
        <w:t xml:space="preserve">Математическому моделированию</w:t>
      </w:r>
      <w:r>
        <w:t xml:space="preserve">”</w:t>
      </w:r>
      <w:r>
        <w:t xml:space="preserve">(рис. 1):</w:t>
      </w:r>
    </w:p>
    <w:p>
      <w:pPr>
        <w:pStyle w:val="CaptionedFigure"/>
      </w:pPr>
      <w:bookmarkStart w:id="25" w:name="fig:001"/>
      <w:r>
        <w:drawing>
          <wp:inline>
            <wp:extent cx="5334000" cy="1656067"/>
            <wp:effectExtent b="0" l="0" r="0" t="0"/>
            <wp:docPr descr="Рис. 1: Julia" title="" id="23" name="Picture"/>
            <a:graphic>
              <a:graphicData uri="http://schemas.openxmlformats.org/drawingml/2006/picture">
                <pic:pic>
                  <pic:nvPicPr>
                    <pic:cNvPr descr="image/1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Julia</w:t>
      </w:r>
    </w:p>
    <w:bookmarkEnd w:id="26"/>
    <w:bookmarkStart w:id="43" w:name="основы-синтаксиса-julia-на-примерах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Основы синтаксиса Julia на примерах</w:t>
      </w:r>
    </w:p>
    <w:p>
      <w:pPr>
        <w:pStyle w:val="FirstParagraph"/>
      </w:pPr>
      <w:r>
        <w:t xml:space="preserve">Для начала потренируемся с определением типов числовых величин (рис. 2):</w:t>
      </w:r>
    </w:p>
    <w:p>
      <w:pPr>
        <w:pStyle w:val="CaptionedFigure"/>
      </w:pPr>
      <w:bookmarkStart w:id="30" w:name="fig:002"/>
      <w:r>
        <w:drawing>
          <wp:inline>
            <wp:extent cx="5334000" cy="3355739"/>
            <wp:effectExtent b="0" l="0" r="0" t="0"/>
            <wp:docPr descr="Рис. 2: Примеры определения типа числовых величин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Примеры определения типа числовых величин</w:t>
      </w:r>
    </w:p>
    <w:p>
      <w:pPr>
        <w:pStyle w:val="BodyText"/>
      </w:pPr>
      <w:r>
        <w:t xml:space="preserve">После чего приступим к рассмотрению приведения аргументов к одному типу (рис. 3):</w:t>
      </w:r>
    </w:p>
    <w:p>
      <w:pPr>
        <w:pStyle w:val="CaptionedFigure"/>
      </w:pPr>
      <w:bookmarkStart w:id="34" w:name="fig:003"/>
      <w:r>
        <w:drawing>
          <wp:inline>
            <wp:extent cx="5334000" cy="2338191"/>
            <wp:effectExtent b="0" l="0" r="0" t="0"/>
            <wp:docPr descr="Рис. 3: Примеры приведения аргументов к одному типу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Примеры приведения аргументов к одному типу</w:t>
      </w:r>
    </w:p>
    <w:p>
      <w:pPr>
        <w:pStyle w:val="BodyText"/>
      </w:pPr>
      <w:r>
        <w:t xml:space="preserve">И рассмотрим примеры определения функций (рис. 4), а также работу с массивами (рис. 5):</w:t>
      </w:r>
    </w:p>
    <w:p>
      <w:pPr>
        <w:pStyle w:val="CaptionedFigure"/>
      </w:pPr>
      <w:bookmarkStart w:id="38" w:name="fig:004"/>
      <w:r>
        <w:drawing>
          <wp:inline>
            <wp:extent cx="5334000" cy="2514029"/>
            <wp:effectExtent b="0" l="0" r="0" t="0"/>
            <wp:docPr descr="Рис. 4: Примеры определения функций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Примеры определения функций</w:t>
      </w:r>
    </w:p>
    <w:p>
      <w:pPr>
        <w:pStyle w:val="CaptionedFigure"/>
      </w:pPr>
      <w:bookmarkStart w:id="42" w:name="fig:005"/>
      <w:r>
        <w:drawing>
          <wp:inline>
            <wp:extent cx="5334000" cy="3006436"/>
            <wp:effectExtent b="0" l="0" r="0" t="0"/>
            <wp:docPr descr="Рис. 5: Примеры работы с массивами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Примеры работы с массивами</w:t>
      </w:r>
    </w:p>
    <w:bookmarkEnd w:id="43"/>
    <w:bookmarkStart w:id="80" w:name="с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первом задании рассмотрим основные функции для чтения / записи / вывода информации на экран. Для этого составим свои примеры (рис. 6 - рис. 8):</w:t>
      </w:r>
    </w:p>
    <w:p>
      <w:pPr>
        <w:pStyle w:val="CaptionedFigure"/>
      </w:pPr>
      <w:bookmarkStart w:id="47" w:name="fig:006"/>
      <w:r>
        <w:drawing>
          <wp:inline>
            <wp:extent cx="5334000" cy="2097285"/>
            <wp:effectExtent b="0" l="0" r="0" t="0"/>
            <wp:docPr descr="Рис. 6: Примеры работы с функциями для чтения/записи/вывода информации на экран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Примеры работы с функциями для чтения/записи/вывода информации на экран</w:t>
      </w:r>
    </w:p>
    <w:p>
      <w:pPr>
        <w:pStyle w:val="CaptionedFigure"/>
      </w:pPr>
      <w:bookmarkStart w:id="51" w:name="fig:007"/>
      <w:r>
        <w:drawing>
          <wp:inline>
            <wp:extent cx="5334000" cy="2329338"/>
            <wp:effectExtent b="0" l="0" r="0" t="0"/>
            <wp:docPr descr="Рис. 7: Примеры работы с функциями для чтения/записи/вывода информации на экран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Примеры работы с функциями для чтения/записи/вывода информации на экран</w:t>
      </w:r>
    </w:p>
    <w:p>
      <w:pPr>
        <w:pStyle w:val="CaptionedFigure"/>
      </w:pPr>
      <w:bookmarkStart w:id="55" w:name="fig:008"/>
      <w:r>
        <w:drawing>
          <wp:inline>
            <wp:extent cx="5334000" cy="1992343"/>
            <wp:effectExtent b="0" l="0" r="0" t="0"/>
            <wp:docPr descr="Рис. 8: Примеры работы с функциями для чтения/записи/вывода информации на экран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Примеры работы с функциями для чтения/записи/вывода информации на экран</w:t>
      </w:r>
    </w:p>
    <w:p>
      <w:pPr>
        <w:numPr>
          <w:ilvl w:val="0"/>
          <w:numId w:val="1002"/>
        </w:numPr>
        <w:pStyle w:val="Compact"/>
      </w:pPr>
      <w:r>
        <w:t xml:space="preserve">read() – чтение одного элемента,</w:t>
      </w:r>
    </w:p>
    <w:p>
      <w:pPr>
        <w:numPr>
          <w:ilvl w:val="0"/>
          <w:numId w:val="1002"/>
        </w:numPr>
        <w:pStyle w:val="Compact"/>
      </w:pPr>
      <w:r>
        <w:t xml:space="preserve">readline() – чтение строки,</w:t>
      </w:r>
    </w:p>
    <w:p>
      <w:pPr>
        <w:numPr>
          <w:ilvl w:val="0"/>
          <w:numId w:val="1002"/>
        </w:numPr>
        <w:pStyle w:val="Compact"/>
      </w:pPr>
      <w:r>
        <w:t xml:space="preserve">readlines() – чтение всех строк файла и запись их в массив,</w:t>
      </w:r>
    </w:p>
    <w:p>
      <w:pPr>
        <w:numPr>
          <w:ilvl w:val="0"/>
          <w:numId w:val="1002"/>
        </w:numPr>
        <w:pStyle w:val="Compact"/>
      </w:pPr>
      <w:r>
        <w:t xml:space="preserve">readdlm() – считывает данные как матрицу с обязательно одинаковым количеством элементов в каждой строке(дописывает</w:t>
      </w:r>
      <w:r>
        <w:t xml:space="preserve"> </w:t>
      </w:r>
      <w:r>
        <w:rPr>
          <w:rStyle w:val="VerbatimChar"/>
        </w:rPr>
        <w:t xml:space="preserve">""</w:t>
      </w:r>
      <w:r>
        <w:t xml:space="preserve">, если элемента нет),</w:t>
      </w:r>
    </w:p>
    <w:p>
      <w:pPr>
        <w:numPr>
          <w:ilvl w:val="0"/>
          <w:numId w:val="1002"/>
        </w:numPr>
        <w:pStyle w:val="Compact"/>
      </w:pPr>
      <w:r>
        <w:t xml:space="preserve">print() – стандартный вывод без перевода строки,</w:t>
      </w:r>
    </w:p>
    <w:p>
      <w:pPr>
        <w:numPr>
          <w:ilvl w:val="0"/>
          <w:numId w:val="1002"/>
        </w:numPr>
        <w:pStyle w:val="Compact"/>
      </w:pPr>
      <w:r>
        <w:t xml:space="preserve">println() – стандартный вывод с переводом строки,</w:t>
      </w:r>
    </w:p>
    <w:p>
      <w:pPr>
        <w:numPr>
          <w:ilvl w:val="0"/>
          <w:numId w:val="1002"/>
        </w:numPr>
        <w:pStyle w:val="Compact"/>
      </w:pPr>
      <w:r>
        <w:t xml:space="preserve">show() – показывает внутренне представление данных(например, строковой тип с кавычками),</w:t>
      </w:r>
    </w:p>
    <w:p>
      <w:pPr>
        <w:numPr>
          <w:ilvl w:val="0"/>
          <w:numId w:val="1002"/>
        </w:numPr>
        <w:pStyle w:val="Compact"/>
      </w:pPr>
      <w:r>
        <w:t xml:space="preserve">write() – стандартная запись в файл.</w:t>
      </w:r>
    </w:p>
    <w:p>
      <w:pPr>
        <w:pStyle w:val="FirstParagraph"/>
      </w:pPr>
      <w:r>
        <w:t xml:space="preserve">Во втором задании состаивим пример для функции parse() (рис. 9):</w:t>
      </w:r>
    </w:p>
    <w:p>
      <w:pPr>
        <w:pStyle w:val="CaptionedFigure"/>
      </w:pPr>
      <w:bookmarkStart w:id="59" w:name="fig:009"/>
      <w:r>
        <w:drawing>
          <wp:inline>
            <wp:extent cx="5334000" cy="1256453"/>
            <wp:effectExtent b="0" l="0" r="0" t="0"/>
            <wp:docPr descr="Рис. 9: Пример работы с функцией parse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Пример работы с функцией parse</w:t>
      </w:r>
    </w:p>
    <w:p>
      <w:pPr>
        <w:pStyle w:val="BodyText"/>
      </w:pPr>
      <w:r>
        <w:t xml:space="preserve">Далее изучим синтаксис Julia для базовых математических операций с разным типом переменных (рис. 10 - рис. 12):</w:t>
      </w:r>
    </w:p>
    <w:p>
      <w:pPr>
        <w:pStyle w:val="CaptionedFigure"/>
      </w:pPr>
      <w:bookmarkStart w:id="63" w:name="fig:010"/>
      <w:r>
        <w:drawing>
          <wp:inline>
            <wp:extent cx="5334000" cy="3016250"/>
            <wp:effectExtent b="0" l="0" r="0" t="0"/>
            <wp:docPr descr="Рис. 10: Примеры работы базовых математических операций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Примеры работы базовых математических операций</w:t>
      </w:r>
    </w:p>
    <w:p>
      <w:pPr>
        <w:pStyle w:val="CaptionedFigure"/>
      </w:pPr>
      <w:bookmarkStart w:id="67" w:name="fig:011"/>
      <w:r>
        <w:drawing>
          <wp:inline>
            <wp:extent cx="5334000" cy="2825278"/>
            <wp:effectExtent b="0" l="0" r="0" t="0"/>
            <wp:docPr descr="Рис. 11: Примеры работы базовых математических операций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Примеры работы базовых математических операций</w:t>
      </w:r>
    </w:p>
    <w:p>
      <w:pPr>
        <w:pStyle w:val="CaptionedFigure"/>
      </w:pPr>
      <w:bookmarkStart w:id="71" w:name="fig:012"/>
      <w:r>
        <w:drawing>
          <wp:inline>
            <wp:extent cx="5334000" cy="2500971"/>
            <wp:effectExtent b="0" l="0" r="0" t="0"/>
            <wp:docPr descr="Рис. 12: Примеры работы базовых математических операций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Примеры работы базовых математических операций</w:t>
      </w:r>
    </w:p>
    <w:p>
      <w:pPr>
        <w:pStyle w:val="BodyText"/>
      </w:pPr>
      <w:r>
        <w:t xml:space="preserve">В конце работы приведём несколько примеров с операциями над матрицами (рис. 13 - рис. 14):</w:t>
      </w:r>
    </w:p>
    <w:p>
      <w:pPr>
        <w:pStyle w:val="CaptionedFigure"/>
      </w:pPr>
      <w:bookmarkStart w:id="75" w:name="fig:013"/>
      <w:r>
        <w:drawing>
          <wp:inline>
            <wp:extent cx="5334000" cy="2806813"/>
            <wp:effectExtent b="0" l="0" r="0" t="0"/>
            <wp:docPr descr="Рис. 13: Примеры работы с операциями над матрицами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Примеры работы с операциями над матрицами</w:t>
      </w:r>
    </w:p>
    <w:p>
      <w:pPr>
        <w:pStyle w:val="CaptionedFigure"/>
      </w:pPr>
      <w:bookmarkStart w:id="79" w:name="fig:014"/>
      <w:r>
        <w:drawing>
          <wp:inline>
            <wp:extent cx="5334000" cy="1880728"/>
            <wp:effectExtent b="0" l="0" r="0" t="0"/>
            <wp:docPr descr="Рис. 14: Примеры работы с операциями над матрицами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Примеры работы с операциями над матрицами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мы подготовили рабочее пространство и инструментарий для работы с языком программирования Julia, на простейших примерах познакомились с основами синтаксиса Julia.</w:t>
      </w:r>
    </w:p>
    <w:bookmarkEnd w:id="82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Start w:id="84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2025 JuliaLang.org contributors. URL:</w:t>
      </w:r>
      <w:r>
        <w:t xml:space="preserve"> </w:t>
      </w:r>
      <w:hyperlink r:id="rId83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09.09.2025).</w:t>
      </w:r>
    </w:p>
    <w:bookmarkEnd w:id="84"/>
    <w:bookmarkStart w:id="86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2025 JuliaLang.org contributors. URL:</w:t>
      </w:r>
      <w:r>
        <w:t xml:space="preserve"> </w:t>
      </w:r>
      <w:hyperlink r:id="rId85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09.09.2025).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85" Target="https://docs.julialang.org/en/v1/" TargetMode="External" /><Relationship Type="http://schemas.openxmlformats.org/officeDocument/2006/relationships/hyperlink" Id="rId83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docs.julialang.org/en/v1/" TargetMode="External" /><Relationship Type="http://schemas.openxmlformats.org/officeDocument/2006/relationships/hyperlink" Id="rId83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Чемоданова Ангелина Александровна</dc:creator>
  <dc:language>ru-RU</dc:language>
  <cp:keywords/>
  <dcterms:created xsi:type="dcterms:W3CDTF">2025-09-09T20:17:42Z</dcterms:created>
  <dcterms:modified xsi:type="dcterms:W3CDTF">2025-09-09T20:17:42Z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Julia. Установка и настройка. Основные принципы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