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25 км от катера. Затем лодка снова скрывается в тумане и уходит прямолинейно в неизвестном направлении. Известно, что скорость катера в 5,1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(1132226443 % 70) + 1</w:t>
      </w:r>
      <w:r>
        <w:t xml:space="preserve"> </w:t>
      </w:r>
      <w:r>
        <w:t xml:space="preserve">= 34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5.1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6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26.01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25.01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25</m:t>
                        </m:r>
                      </m:num>
                      <m:den>
                        <m:r>
                          <m:t>6.1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25</m:t>
                        </m:r>
                      </m:num>
                      <m:den>
                        <m:r>
                          <m:t>4.1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25.01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46" w:name="построение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6.1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4.1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график движения катера в 1 случае. (рис. 1):</w:t>
      </w:r>
    </w:p>
    <w:p>
      <w:pPr>
        <w:pStyle w:val="CaptionedFigure"/>
      </w:pPr>
      <w:bookmarkStart w:id="25" w:name="fig:001"/>
      <w:r>
        <w:drawing>
          <wp:inline>
            <wp:extent cx="5334000" cy="3579471"/>
            <wp:effectExtent b="0" l="0" r="0" t="0"/>
            <wp:docPr descr="Рис. 1: Траекория движения катера в 1 случа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Траекория движения катера в 1 случае</w:t>
      </w:r>
    </w:p>
    <w:p>
      <w:pPr>
        <w:pStyle w:val="BodyText"/>
      </w:pPr>
      <w:r>
        <w:t xml:space="preserve">Добавим в код:</w:t>
      </w:r>
    </w:p>
    <w:p>
      <w:pPr>
        <w:pStyle w:val="SourceCode"/>
      </w:pP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график движения катера и траекторию движения лодки в 1 случае. (рис. 2):</w:t>
      </w:r>
    </w:p>
    <w:p>
      <w:pPr>
        <w:pStyle w:val="CaptionedFigure"/>
      </w:pPr>
      <w:bookmarkStart w:id="29" w:name="fig:002"/>
      <w:r>
        <w:drawing>
          <wp:inline>
            <wp:extent cx="5334000" cy="3544379"/>
            <wp:effectExtent b="0" l="0" r="0" t="0"/>
            <wp:docPr descr="Рис. 2: График движения катера и траекторию движения лодки в 1 случа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движения катера и траекторию движения лодки в 1 случае</w:t>
      </w:r>
    </w:p>
    <w:p>
      <w:pPr>
        <w:pStyle w:val="BodyText"/>
      </w:pPr>
      <w:r>
        <w:t xml:space="preserve">Теперь рассчитаем точку пересечения траектории катера и лодки.</w:t>
      </w:r>
    </w:p>
    <w:p>
      <w:pPr>
        <w:pStyle w:val="SourceCode"/>
      </w:pPr>
      <w:r>
        <w:rPr>
          <w:rStyle w:val="CommentTok"/>
        </w:rPr>
        <w:t xml:space="preserve"># точное решение ДУ, описывающего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61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следующее значение:</w:t>
      </w:r>
      <w:r>
        <w:t xml:space="preserve"> </w:t>
      </w:r>
      <m:oMath>
        <m:r>
          <m:t>12.304002757914663</m:t>
        </m:r>
      </m:oMath>
      <w:r>
        <w:t xml:space="preserve">. При оценки точки на глаз можно получить похожее значение. (рис. 3):</w:t>
      </w:r>
    </w:p>
    <w:p>
      <w:pPr>
        <w:pStyle w:val="CaptionedFigure"/>
      </w:pPr>
      <w:bookmarkStart w:id="33" w:name="fig:003"/>
      <w:r>
        <w:drawing>
          <wp:inline>
            <wp:extent cx="5334000" cy="842835"/>
            <wp:effectExtent b="0" l="0" r="0" t="0"/>
            <wp:docPr descr="Рис. 3: Точка пересечения траекторий катера и лодки в 1 случае" title="" id="31" name="Picture"/>
            <a:graphic>
              <a:graphicData uri="http://schemas.openxmlformats.org/drawingml/2006/picture">
                <pic:pic>
                  <pic:nvPicPr>
                    <pic:cNvPr descr="image/2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Точка пересечения траекторий катера и лодки в 1 случае</w:t>
      </w:r>
    </w:p>
    <w:p>
      <w:pPr>
        <w:pStyle w:val="BodyText"/>
      </w:pPr>
      <w:r>
        <w:t xml:space="preserve">Перейдем к решению второго случая.</w:t>
      </w:r>
    </w:p>
    <w:p>
      <w:pPr>
        <w:pStyle w:val="SourceCode"/>
      </w:pP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график движения катера во 2 случае. (рис. 4):</w:t>
      </w:r>
    </w:p>
    <w:p>
      <w:pPr>
        <w:pStyle w:val="CaptionedFigure"/>
      </w:pPr>
      <w:bookmarkStart w:id="37" w:name="fig:004"/>
      <w:r>
        <w:drawing>
          <wp:inline>
            <wp:extent cx="5334000" cy="3622430"/>
            <wp:effectExtent b="0" l="0" r="0" t="0"/>
            <wp:docPr descr="Рис. 4: Траекория движения катера во 2 случае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Траекория движения катера во 2 случае</w:t>
      </w:r>
    </w:p>
    <w:p>
      <w:pPr>
        <w:pStyle w:val="BodyText"/>
      </w:pPr>
      <w:r>
        <w:t xml:space="preserve">Добавим в код:</w:t>
      </w:r>
    </w:p>
    <w:p>
      <w:pPr>
        <w:pStyle w:val="SourceCode"/>
      </w:pP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график движения катера и траекторию движения лодки во 2 случае. (рис. 5):</w:t>
      </w:r>
    </w:p>
    <w:p>
      <w:pPr>
        <w:pStyle w:val="CaptionedFigure"/>
      </w:pPr>
      <w:bookmarkStart w:id="41" w:name="fig:005"/>
      <w:r>
        <w:drawing>
          <wp:inline>
            <wp:extent cx="5334000" cy="3584957"/>
            <wp:effectExtent b="0" l="0" r="0" t="0"/>
            <wp:docPr descr="Рис. 5: График движения катера и траекторию движения лодки во 2 случае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движения катера и траекторию движения лодки во 2 случае</w:t>
      </w:r>
    </w:p>
    <w:p>
      <w:pPr>
        <w:pStyle w:val="BodyText"/>
      </w:pPr>
      <w:r>
        <w:t xml:space="preserve">Теперь рассчитаем точку пересечения траектории катера и лодки.</w:t>
      </w:r>
    </w:p>
    <w:p>
      <w:pPr>
        <w:pStyle w:val="SourceCode"/>
      </w:pPr>
      <w:r>
        <w:rPr>
          <w:rStyle w:val="CommentTok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следующее значение:</w:t>
      </w:r>
      <w:r>
        <w:t xml:space="preserve"> </w:t>
      </w:r>
      <m:oMath>
        <m:r>
          <m:t>9.767236102657977</m:t>
        </m:r>
      </m:oMath>
      <w:r>
        <w:t xml:space="preserve">. При оценки точки на глаз можно получить похожее значение. (рис. 6):</w:t>
      </w:r>
    </w:p>
    <w:p>
      <w:pPr>
        <w:pStyle w:val="CaptionedFigure"/>
      </w:pPr>
      <w:bookmarkStart w:id="45" w:name="fig:006"/>
      <w:r>
        <w:drawing>
          <wp:inline>
            <wp:extent cx="5334000" cy="877746"/>
            <wp:effectExtent b="0" l="0" r="0" t="0"/>
            <wp:docPr descr="Рис. 6: Точка пересечения траекторий катера и лодки во 2 случае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Точка пересечения траекторий катера и лодки во 2 случае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построили математическую модель для выбора правильной стратегии при решении примера задаче о погоне.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 Лабораторная работа №2. Задача о погоне. [Электронный ресурс].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Чемоданова Ангелина Александровна</dc:creator>
  <dc:language>ru-RU</dc:language>
  <cp:keywords/>
  <dcterms:created xsi:type="dcterms:W3CDTF">2025-02-25T22:43:36Z</dcterms:created>
  <dcterms:modified xsi:type="dcterms:W3CDTF">2025-02-25T22:43:36Z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Задача о погоне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