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9.png" ContentType="image/png"/>
  <Override PartName="/word/media/rId73.png" ContentType="image/png"/>
  <Override PartName="/word/media/rId57.png" ContentType="image/png"/>
  <Override PartName="/word/media/rId61.png" ContentType="image/png"/>
  <Override PartName="/word/media/rId77.png" ContentType="image/png"/>
  <Override PartName="/word/media/rId8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Задачи</w:t>
      </w:r>
      <w:r>
        <w:t xml:space="preserve"> </w:t>
      </w:r>
      <w:r>
        <w:t xml:space="preserve">оптимизации.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двух</w:t>
      </w:r>
      <w:r>
        <w:t xml:space="preserve"> </w:t>
      </w:r>
      <w:r>
        <w:t xml:space="preserve">стратегий</w:t>
      </w:r>
      <w:r>
        <w:t xml:space="preserve"> </w:t>
      </w:r>
      <w:r>
        <w:t xml:space="preserve">обслуживания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с помощью gpss модель двух стратегий обслуживания и оценить оптимальные параметры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Реализовать с помощью gpss</w:t>
      </w:r>
      <w:r>
        <w:t xml:space="preserve">[2]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1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1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20"/>
    <w:bookmarkEnd w:id="21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 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 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две очереди и обслуживаются соответствующими пунктами пропуска;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одну общую очередь и обслуживаются освободившимся пунктом пропуска.</w:t>
      </w:r>
    </w:p>
    <w:p>
      <w:pPr>
        <w:pStyle w:val="FirstParagraph"/>
      </w:pP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2"/>
    <w:bookmarkStart w:id="40" w:name="построение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numPr>
          <w:ilvl w:val="0"/>
          <w:numId w:val="1003"/>
        </w:numPr>
        <w:pStyle w:val="Compact"/>
      </w:pPr>
      <w:r>
        <w:t xml:space="preserve">характеристик качества обслуживания автомобилей, в частности, средних длин очередей; среднего времени обслуживания автомобиля; среднего времени пребывания автомобиля на пункте пропуска;</w:t>
      </w:r>
    </w:p>
    <w:p>
      <w:pPr>
        <w:numPr>
          <w:ilvl w:val="0"/>
          <w:numId w:val="1003"/>
        </w:numPr>
        <w:pStyle w:val="Compact"/>
      </w:pPr>
      <w:r>
        <w:t xml:space="preserve">наилучшей стратегии обслуживания автомобилей на пункте пограничного контроля;</w:t>
      </w:r>
    </w:p>
    <w:p>
      <w:pPr>
        <w:numPr>
          <w:ilvl w:val="0"/>
          <w:numId w:val="1003"/>
        </w:numPr>
        <w:pStyle w:val="Compact"/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 автомобилей, выберем:</w:t>
      </w:r>
    </w:p>
    <w:p>
      <w:pPr>
        <w:numPr>
          <w:ilvl w:val="0"/>
          <w:numId w:val="1004"/>
        </w:numPr>
        <w:pStyle w:val="Compact"/>
      </w:pPr>
      <w:r>
        <w:t xml:space="preserve">коэффициенты загрузки системы;</w:t>
      </w:r>
    </w:p>
    <w:p>
      <w:pPr>
        <w:numPr>
          <w:ilvl w:val="0"/>
          <w:numId w:val="1004"/>
        </w:numPr>
        <w:pStyle w:val="Compact"/>
      </w:pPr>
      <w:r>
        <w:t xml:space="preserve">максимальные и средние длины очередей;</w:t>
      </w:r>
    </w:p>
    <w:p>
      <w:pPr>
        <w:numPr>
          <w:ilvl w:val="0"/>
          <w:numId w:val="1004"/>
        </w:numPr>
        <w:pStyle w:val="Compact"/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 две очереди и обслуживаются соответствующими пропускными пунктами, имеем следующую модель (рис. 1).</w:t>
      </w:r>
    </w:p>
    <w:p>
      <w:pPr>
        <w:pStyle w:val="CaptionedFigure"/>
      </w:pPr>
      <w:bookmarkStart w:id="26" w:name="fig:001"/>
      <w:r>
        <w:drawing>
          <wp:inline>
            <wp:extent cx="5334000" cy="3251035"/>
            <wp:effectExtent b="0" l="0" r="0" t="0"/>
            <wp:docPr descr="Рис. 1: Модель первой стратегии обслужива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Модель первой стратегии обслуживания</w:t>
      </w:r>
    </w:p>
    <w:p>
      <w:pPr>
        <w:pStyle w:val="BodyText"/>
      </w:pPr>
      <w:r>
        <w:t xml:space="preserve">После запуска симуляции получим отчёт (рис. 2).</w:t>
      </w:r>
    </w:p>
    <w:p>
      <w:pPr>
        <w:pStyle w:val="CaptionedFigure"/>
      </w:pPr>
      <w:bookmarkStart w:id="30" w:name="fig:002"/>
      <w:r>
        <w:drawing>
          <wp:inline>
            <wp:extent cx="5334000" cy="4832783"/>
            <wp:effectExtent b="0" l="0" r="0" t="0"/>
            <wp:docPr descr="Рис. 2: Отчёт по модели первой стратегии обслужив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Отчёт по модели первой стратегии обслуживания</w:t>
      </w:r>
    </w:p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 3, 4).</w:t>
      </w:r>
    </w:p>
    <w:p>
      <w:pPr>
        <w:pStyle w:val="CaptionedFigure"/>
      </w:pPr>
      <w:bookmarkStart w:id="34" w:name="fig:003"/>
      <w:r>
        <w:drawing>
          <wp:inline>
            <wp:extent cx="5334000" cy="1805523"/>
            <wp:effectExtent b="0" l="0" r="0" t="0"/>
            <wp:docPr descr="Рис. 3: Модель второй стратегии обслужи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Модель второй стратегии обслуживания</w:t>
      </w:r>
    </w:p>
    <w:p>
      <w:pPr>
        <w:pStyle w:val="CaptionedFigure"/>
      </w:pPr>
      <w:bookmarkStart w:id="38" w:name="fig:004"/>
      <w:r>
        <w:drawing>
          <wp:inline>
            <wp:extent cx="5334000" cy="3697052"/>
            <wp:effectExtent b="0" l="0" r="0" t="0"/>
            <wp:docPr descr="Рис. 4: Отчет по модели второй стратегии обслужи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Отчет по модели второй стратегии обслуживания</w:t>
      </w:r>
    </w:p>
    <w:p>
      <w:pPr>
        <w:pStyle w:val="BodyText"/>
      </w:pPr>
      <w:r>
        <w:t xml:space="preserve">Составим таблицу по полученной статистике (табл. 1).</w:t>
      </w:r>
    </w:p>
    <w:bookmarkStart w:id="39" w:name="tbl:str"/>
    <w:p>
      <w:pPr>
        <w:pStyle w:val="TableCaption"/>
      </w:pPr>
      <w:r>
        <w:t xml:space="preserve">Таблица 1: Сравнение стратегий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: Сравнение стратегий"/>
      </w:tblPr>
      <w:tblGrid>
        <w:gridCol w:w="2996"/>
        <w:gridCol w:w="1391"/>
        <w:gridCol w:w="963"/>
        <w:gridCol w:w="1070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607,138</w:t>
            </w:r>
          </w:p>
        </w:tc>
      </w:tr>
    </w:tbl>
    <w:bookmarkEnd w:id="39"/>
    <w:p>
      <w:pPr>
        <w:pStyle w:val="BodyText"/>
      </w:pPr>
      <w:r>
        <w:t xml:space="preserve">Сравнив результаты моделирования двух систем, можно сделать вывод о том, что первая модель позволяет обслужить большее число автомобилей. Однако мы видим, что разница между обслуженными и поступившими автомобилями меньше для второй модели – значит, продуктивность работы выше. Также для второй модели коэффициент загрузки равен 1 – значит ни один из пунктов не простаивает. Максимальная длина очереди, средняя длина очереди и среднее время ожидания меньше для второй стратегии. Можно сделать вывод, что вторая стратегия лучше.</w:t>
      </w:r>
    </w:p>
    <w:bookmarkEnd w:id="40"/>
    <w:bookmarkStart w:id="85" w:name="Xf93fd02b9c527d9f12f26d897c7ed4444cb9e0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numPr>
          <w:ilvl w:val="0"/>
          <w:numId w:val="1005"/>
        </w:numPr>
        <w:pStyle w:val="Compact"/>
      </w:pPr>
      <w:r>
        <w:t xml:space="preserve">коэффициент загрузки пропускных пунктов принадлежит интервалу [0, 5; 0, 95];</w:t>
      </w:r>
    </w:p>
    <w:p>
      <w:pPr>
        <w:numPr>
          <w:ilvl w:val="0"/>
          <w:numId w:val="1005"/>
        </w:numPr>
        <w:pStyle w:val="Compact"/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numPr>
          <w:ilvl w:val="0"/>
          <w:numId w:val="1005"/>
        </w:numPr>
        <w:pStyle w:val="Compact"/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 5).</w:t>
      </w:r>
    </w:p>
    <w:p>
      <w:pPr>
        <w:pStyle w:val="CaptionedFigure"/>
      </w:pPr>
      <w:bookmarkStart w:id="44" w:name="fig:005"/>
      <w:r>
        <w:drawing>
          <wp:inline>
            <wp:extent cx="5334000" cy="1748211"/>
            <wp:effectExtent b="0" l="0" r="0" t="0"/>
            <wp:docPr descr="Рис. 5: Модель двух стратегий обслуживания с 1 пропускным пунктом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Модель двух стратегий обслуживания с 1 пропускным пунктом</w:t>
      </w:r>
    </w:p>
    <w:p>
      <w:pPr>
        <w:pStyle w:val="BodyText"/>
      </w:pPr>
      <w:r>
        <w:t xml:space="preserve">После симуляции получим следующий отчет (рис. 5).</w:t>
      </w:r>
    </w:p>
    <w:p>
      <w:pPr>
        <w:pStyle w:val="CaptionedFigure"/>
      </w:pPr>
      <w:bookmarkStart w:id="48" w:name="fig:006"/>
      <w:r>
        <w:drawing>
          <wp:inline>
            <wp:extent cx="5334000" cy="3402631"/>
            <wp:effectExtent b="0" l="0" r="0" t="0"/>
            <wp:docPr descr="Рис. 6: Отчёт по модели двух стратегий обслуживания с 1 пропускным пунктом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Отчёт по модели двух стратегий обслуживания с 1 пропускным пунктом</w:t>
      </w:r>
    </w:p>
    <w:p>
      <w:pPr>
        <w:pStyle w:val="BodyText"/>
      </w:pPr>
      <w:r>
        <w:t xml:space="preserve">В этом случае модель не проходит ни по одному из критериев, так как коэффициент загрузки, размер очереди и среднее время ожидания больше.</w:t>
      </w:r>
    </w:p>
    <w:p>
      <w:pPr>
        <w:pStyle w:val="BodyText"/>
      </w:pPr>
      <w:r>
        <w:t xml:space="preserve">Построим модель для первой стратегии с 3 пропускными пунктами и получим отчет (рис. 7, 8).</w:t>
      </w:r>
    </w:p>
    <w:p>
      <w:pPr>
        <w:pStyle w:val="CaptionedFigure"/>
      </w:pPr>
      <w:bookmarkStart w:id="52" w:name="fig:007"/>
      <w:r>
        <w:drawing>
          <wp:inline>
            <wp:extent cx="5334000" cy="3572402"/>
            <wp:effectExtent b="0" l="0" r="0" t="0"/>
            <wp:docPr descr="Рис. 7: Модель первой стратегии обслуживания с 3 пропускными пунктами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Модель первой стратегии обслуживания с 3 пропускными пунктами</w:t>
      </w:r>
    </w:p>
    <w:p>
      <w:pPr>
        <w:pStyle w:val="CaptionedFigure"/>
      </w:pPr>
      <w:bookmarkStart w:id="56" w:name="fig:008"/>
      <w:r>
        <w:drawing>
          <wp:inline>
            <wp:extent cx="5334000" cy="5145228"/>
            <wp:effectExtent b="0" l="0" r="0" t="0"/>
            <wp:docPr descr="Рис. 8: Отчёт по модели первой стратегии обслуживания с 3 пропускными пунктами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Отчёт по модели первой стратегии обслуживания с 3 пропускными пунктами</w:t>
      </w:r>
    </w:p>
    <w:p>
      <w:pPr>
        <w:pStyle w:val="BodyText"/>
      </w:pPr>
      <w:r>
        <w:t xml:space="preserve">В этом случае среднее время ожидания больше 4.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(рис. 9, 10).</w:t>
      </w:r>
    </w:p>
    <w:p>
      <w:pPr>
        <w:pStyle w:val="CaptionedFigure"/>
      </w:pPr>
      <w:bookmarkStart w:id="60" w:name="fig:009"/>
      <w:r>
        <w:drawing>
          <wp:inline>
            <wp:extent cx="5334000" cy="1922847"/>
            <wp:effectExtent b="0" l="0" r="0" t="0"/>
            <wp:docPr descr="Рис. 9: Модель второй стратегии обслуживания с 3 пропускными пунктами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Модель второй стратегии обслуживания с 3 пропускными пунктами</w:t>
      </w:r>
    </w:p>
    <w:p>
      <w:pPr>
        <w:pStyle w:val="CaptionedFigure"/>
      </w:pPr>
      <w:bookmarkStart w:id="64" w:name="fig:010"/>
      <w:r>
        <w:drawing>
          <wp:inline>
            <wp:extent cx="5334000" cy="3350972"/>
            <wp:effectExtent b="0" l="0" r="0" t="0"/>
            <wp:docPr descr="Рис. 10: Отчёт по модели второй стратегии обслуживания с 3 пропускными пунктами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Отчёт по модели второй стратегии обслуживания с 3 пропускными пунктами</w:t>
      </w:r>
    </w:p>
    <w:p>
      <w:pPr>
        <w:pStyle w:val="BodyText"/>
      </w:pPr>
      <w:r>
        <w:t xml:space="preserve">В этом случае все критерии выполняются, поэтому модель</w:t>
      </w:r>
      <w:r>
        <w:t xml:space="preserve"> </w:t>
      </w:r>
      <w:r>
        <w:rPr>
          <w:iCs/>
          <w:i/>
        </w:rPr>
        <w:t xml:space="preserve">оптимальна</w:t>
      </w:r>
      <w:r>
        <w:t xml:space="preserve">.</w:t>
      </w:r>
    </w:p>
    <w:p>
      <w:pPr>
        <w:pStyle w:val="BodyText"/>
      </w:pPr>
      <w:r>
        <w:t xml:space="preserve">Построим модель для первой стратегии с 4 пропускными пунктами (рис. 11, 12, 13).</w:t>
      </w:r>
    </w:p>
    <w:p>
      <w:pPr>
        <w:pStyle w:val="CaptionedFigure"/>
      </w:pPr>
      <w:bookmarkStart w:id="68" w:name="fig:011"/>
      <w:r>
        <w:drawing>
          <wp:inline>
            <wp:extent cx="5334000" cy="4394433"/>
            <wp:effectExtent b="0" l="0" r="0" t="0"/>
            <wp:docPr descr="Рис. 11: Модель первой стратегии обслуживания с 4 пропускными пунктами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Модель первой стратегии обслуживания с 4 пропускными пунктами</w:t>
      </w:r>
    </w:p>
    <w:p>
      <w:pPr>
        <w:pStyle w:val="CaptionedFigure"/>
      </w:pPr>
      <w:bookmarkStart w:id="72" w:name="fig:012"/>
      <w:r>
        <w:drawing>
          <wp:inline>
            <wp:extent cx="5334000" cy="4566376"/>
            <wp:effectExtent b="0" l="0" r="0" t="0"/>
            <wp:docPr descr="Рис. 12: Отчёт по модели первой стратегии обслуживания с 4 пропускными пунктами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Отчёт по модели первой стратегии обслуживания с 4 пропускными пунктами</w:t>
      </w:r>
    </w:p>
    <w:p>
      <w:pPr>
        <w:pStyle w:val="CaptionedFigure"/>
      </w:pPr>
      <w:bookmarkStart w:id="76" w:name="fig:013"/>
      <w:r>
        <w:drawing>
          <wp:inline>
            <wp:extent cx="5334000" cy="2389909"/>
            <wp:effectExtent b="0" l="0" r="0" t="0"/>
            <wp:docPr descr="Рис. 13: Отчёт по модели первой стратегии обслуживания с 4 пропускными пунктами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Отчёт по модели первой стратегии обслуживания с 4 пропускными пунктами</w:t>
      </w:r>
    </w:p>
    <w:p>
      <w:pPr>
        <w:pStyle w:val="BodyText"/>
      </w:pPr>
      <w:r>
        <w:t xml:space="preserve">В этом случае все критерии выполнены, поэтому 4 пункта являются</w:t>
      </w:r>
      <w:r>
        <w:t xml:space="preserve"> </w:t>
      </w:r>
      <w:r>
        <w:rPr>
          <w:iCs/>
          <w:i/>
        </w:rPr>
        <w:t xml:space="preserve">оптимальным</w:t>
      </w:r>
      <w:r>
        <w:t xml:space="preserve"> </w:t>
      </w:r>
      <w:r>
        <w:t xml:space="preserve">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(рис. 14, 15).</w:t>
      </w:r>
    </w:p>
    <w:p>
      <w:pPr>
        <w:pStyle w:val="CaptionedFigure"/>
      </w:pPr>
      <w:bookmarkStart w:id="80" w:name="fig:014"/>
      <w:r>
        <w:drawing>
          <wp:inline>
            <wp:extent cx="5334000" cy="1874981"/>
            <wp:effectExtent b="0" l="0" r="0" t="0"/>
            <wp:docPr descr="Рис. 14: Модель второй стратегии обслуживания с 4 пропускными пунктам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Модель второй стратегии обслуживания с 4 пропускными пунктами</w:t>
      </w:r>
    </w:p>
    <w:p>
      <w:pPr>
        <w:pStyle w:val="CaptionedFigure"/>
      </w:pPr>
      <w:bookmarkStart w:id="84" w:name="fig:015"/>
      <w:r>
        <w:drawing>
          <wp:inline>
            <wp:extent cx="5334000" cy="3289459"/>
            <wp:effectExtent b="0" l="0" r="0" t="0"/>
            <wp:docPr descr="Рис. 15: Отчёт по модели второй стратегии обслуживания с 4 пропускными пунктами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Отчёт по модели второй стратегии обслуживания с 4 пропускными пунктами</w:t>
      </w:r>
    </w:p>
    <w:p>
      <w:pPr>
        <w:pStyle w:val="BodyText"/>
      </w:pPr>
      <w:r>
        <w:t xml:space="preserve">Здесь все критерии выполнены при этом время ожидания и среднее число автомобилей меньше, чем в случе второй стратегии с 3 пунктами, однако и загрузка меньше. Можно сделать вывод, что 4 пропускной пункт излишне разгружает систему.</w:t>
      </w:r>
    </w:p>
    <w:p>
      <w:pPr>
        <w:pStyle w:val="BodyText"/>
      </w:pPr>
      <w:r>
        <w:t xml:space="preserve">В результате анализа наилучшим количеством пропускных пунктов будет</w:t>
      </w:r>
      <w:r>
        <w:t xml:space="preserve"> </w:t>
      </w:r>
      <w:r>
        <w:rPr>
          <w:iCs/>
          <w:i/>
        </w:rPr>
        <w:t xml:space="preserve">3 при втором типе обслуживания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4 при первом</w:t>
      </w:r>
      <w:r>
        <w:t xml:space="preserve">.</w:t>
      </w:r>
    </w:p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numPr>
          <w:ilvl w:val="0"/>
          <w:numId w:val="1006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6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6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87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Start w:id="88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16. Задачи оптимизации. Модель двух стратегий обслуживания [Электронный ресурс].</w:t>
      </w:r>
    </w:p>
    <w:bookmarkEnd w:id="88"/>
    <w:bookmarkStart w:id="89" w:name="ref-gps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Имитационное моделирование в GPSS [Электронный ресурс].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Чемоданова Ангелина Александровна</dc:creator>
  <dc:language>ru-RU</dc:language>
  <cp:keywords/>
  <dcterms:created xsi:type="dcterms:W3CDTF">2025-04-06T14:46:05Z</dcterms:created>
  <dcterms:modified xsi:type="dcterms:W3CDTF">2025-04-06T14:46:05Z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Задачи оптимизации. Модель двух стратегий обслуживания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