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«Накорми</w:t>
      </w:r>
      <w:r>
        <w:t xml:space="preserve"> </w:t>
      </w:r>
      <w:r>
        <w:t xml:space="preserve">студентов»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модель «Накорми студентов» с помощью программы</w:t>
      </w:r>
      <w:r>
        <w:t xml:space="preserve"> </w:t>
      </w:r>
      <w:r>
        <w:rPr>
          <w:iCs/>
          <w:i/>
        </w:rPr>
        <w:t xml:space="preserve">CPN Tools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«Накорми студентов» в</w:t>
      </w:r>
      <w:r>
        <w:t xml:space="preserve"> </w:t>
      </w:r>
      <w:r>
        <w:rPr>
          <w:iCs/>
          <w:i/>
        </w:rPr>
        <w:t xml:space="preserve">CPN Tools</w:t>
      </w:r>
      <w:r>
        <w:t xml:space="preserve">[2]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8" w:name="реализация-модели-в-cpn-tool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в</w:t>
      </w:r>
      <w:r>
        <w:t xml:space="preserve"> </w:t>
      </w:r>
      <w:r>
        <w:rPr>
          <w:iCs/>
          <w:i/>
        </w:rPr>
        <w:t xml:space="preserve">CPN Tools</w:t>
      </w:r>
    </w:p>
    <w:p>
      <w:pPr>
        <w:pStyle w:val="FirstParagraph"/>
      </w:pPr>
      <w:r>
        <w:t xml:space="preserve">Рассмотрим пример студентов, обедающих пирогами. Голодный студент становится сытым после того, как съедает пирог.</w:t>
      </w:r>
    </w:p>
    <w:p>
      <w:pPr>
        <w:pStyle w:val="BodyText"/>
      </w:pPr>
      <w:r>
        <w:t xml:space="preserve">Таким образом, имеем:</w:t>
      </w:r>
    </w:p>
    <w:p>
      <w:pPr>
        <w:numPr>
          <w:ilvl w:val="0"/>
          <w:numId w:val="1002"/>
        </w:numPr>
      </w:pPr>
      <w:r>
        <w:t xml:space="preserve">два типа фишек: «пироги» и «студенты»;</w:t>
      </w:r>
    </w:p>
    <w:p>
      <w:pPr>
        <w:numPr>
          <w:ilvl w:val="0"/>
          <w:numId w:val="1002"/>
        </w:numPr>
      </w:pPr>
      <w:r>
        <w:t xml:space="preserve">три позиции: «голодный студент», «пирожки», «сытый студент»;</w:t>
      </w:r>
    </w:p>
    <w:p>
      <w:pPr>
        <w:numPr>
          <w:ilvl w:val="0"/>
          <w:numId w:val="1002"/>
        </w:numPr>
      </w:pPr>
      <w:r>
        <w:t xml:space="preserve">один переход: «съесть пирожок».</w:t>
      </w:r>
    </w:p>
    <w:p>
      <w:pPr>
        <w:pStyle w:val="FirstParagraph"/>
      </w:pPr>
      <w:r>
        <w:t xml:space="preserve">Нарисуем граф сети. Для этого с помощью контекстного меню создаём новую сеть, добавляем позиции, переход и дуги (рис. 1).</w:t>
      </w:r>
    </w:p>
    <w:p>
      <w:pPr>
        <w:pStyle w:val="CaptionedFigure"/>
      </w:pPr>
      <w:bookmarkStart w:id="25" w:name="fig:001"/>
      <w:r>
        <w:drawing>
          <wp:inline>
            <wp:extent cx="3018159" cy="2538579"/>
            <wp:effectExtent b="0" l="0" r="0" t="0"/>
            <wp:docPr descr="Рис. 1: Граф сети модели «Накорми студентов»" title="" id="23" name="Picture"/>
            <a:graphic>
              <a:graphicData uri="http://schemas.openxmlformats.org/drawingml/2006/picture">
                <pic:pic>
                  <pic:nvPicPr>
                    <pic:cNvPr descr="image/1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159" cy="2538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Граф сети модели «Накорми студентов»</w:t>
      </w:r>
    </w:p>
    <w:p>
      <w:pPr>
        <w:pStyle w:val="BodyText"/>
      </w:pPr>
      <w:r>
        <w:t xml:space="preserve">В меню задаём новые декларации модели: типы фишек, начальные значения позиций, выражения для дуг. Для этого наведя мышку на меню Standart declarations, правой кнопкой вызываем контекстное меню и выбираем New Decl. После этого задаем тип s фишкам, относящимся к студентам, тип p — фишкам, относящимся к пирогам, задаём значения переменных x и y для дуг и начальные значения мультимножеств</w:t>
      </w:r>
      <w:r>
        <w:t xml:space="preserve"> </w:t>
      </w:r>
      <w:r>
        <w:rPr>
          <w:rStyle w:val="VerbatimChar"/>
        </w:rPr>
        <w:t xml:space="preserve">init_stud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init_food</w:t>
      </w:r>
      <w:r>
        <w:t xml:space="preserve">. (рис. 2).</w:t>
      </w:r>
    </w:p>
    <w:p>
      <w:pPr>
        <w:pStyle w:val="CaptionedFigure"/>
      </w:pPr>
      <w:bookmarkStart w:id="29" w:name="fig:002"/>
      <w:r>
        <w:drawing>
          <wp:inline>
            <wp:extent cx="1541051" cy="1131809"/>
            <wp:effectExtent b="0" l="0" r="0" t="0"/>
            <wp:docPr descr="Рис. 2: Декларации модели «Накорми студентов»" title="" id="27" name="Picture"/>
            <a:graphic>
              <a:graphicData uri="http://schemas.openxmlformats.org/drawingml/2006/picture">
                <pic:pic>
                  <pic:nvPicPr>
                    <pic:cNvPr descr="image/2_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051" cy="1131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Декларации модели «Накорми студентов»</w:t>
      </w:r>
    </w:p>
    <w:p>
      <w:pPr>
        <w:pStyle w:val="BodyText"/>
      </w:pPr>
      <w:r>
        <w:t xml:space="preserve">В результате получаем работающую модель (рис. 3).</w:t>
      </w:r>
    </w:p>
    <w:p>
      <w:pPr>
        <w:pStyle w:val="CaptionedFigure"/>
      </w:pPr>
      <w:bookmarkStart w:id="33" w:name="fig:003"/>
      <w:r>
        <w:drawing>
          <wp:inline>
            <wp:extent cx="3363457" cy="2557762"/>
            <wp:effectExtent b="0" l="0" r="0" t="0"/>
            <wp:docPr descr="Рис. 3: Модель «Накорми студентов»" title="" id="31" name="Picture"/>
            <a:graphic>
              <a:graphicData uri="http://schemas.openxmlformats.org/drawingml/2006/picture">
                <pic:pic>
                  <pic:nvPicPr>
                    <pic:cNvPr descr="image/3_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57" cy="2557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Модель «Накорми студентов»</w:t>
      </w:r>
    </w:p>
    <w:p>
      <w:pPr>
        <w:pStyle w:val="BodyText"/>
      </w:pPr>
      <w:r>
        <w:t xml:space="preserve">После запуска фишки типа «пирожки» из позиции «еда» и фишки типа «студенты» из позиции «голодный студент», пройдя через переход «кушать», попадают в позицию «сытый студент» и преобразуются в тип «студенты» (рис. 4).</w:t>
      </w:r>
    </w:p>
    <w:p>
      <w:pPr>
        <w:pStyle w:val="CaptionedFigure"/>
      </w:pPr>
      <w:bookmarkStart w:id="37" w:name="fig:004"/>
      <w:r>
        <w:drawing>
          <wp:inline>
            <wp:extent cx="3325090" cy="2461846"/>
            <wp:effectExtent b="0" l="0" r="0" t="0"/>
            <wp:docPr descr="Рис. 4: Запуск модели «Накорми студентов»" title="" id="35" name="Picture"/>
            <a:graphic>
              <a:graphicData uri="http://schemas.openxmlformats.org/drawingml/2006/picture">
                <pic:pic>
                  <pic:nvPicPr>
                    <pic:cNvPr descr="image/4_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09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Запуск модели «Накорми студентов»</w:t>
      </w:r>
    </w:p>
    <w:bookmarkEnd w:id="38"/>
    <w:bookmarkStart w:id="43" w:name="упражне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Построим граф по этому пространству(рис. 5).</w:t>
      </w:r>
    </w:p>
    <w:p>
      <w:pPr>
        <w:pStyle w:val="CaptionedFigure"/>
      </w:pPr>
      <w:bookmarkStart w:id="42" w:name="fig:005"/>
      <w:r>
        <w:drawing>
          <wp:inline>
            <wp:extent cx="5334000" cy="3331779"/>
            <wp:effectExtent b="0" l="0" r="0" t="0"/>
            <wp:docPr descr="Рис. 5: Граф пространства состояний" title="" id="40" name="Picture"/>
            <a:graphic>
              <a:graphicData uri="http://schemas.openxmlformats.org/drawingml/2006/picture">
                <pic:pic>
                  <pic:nvPicPr>
                    <pic:cNvPr descr="image/5_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1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Граф пространства состояний</w:t>
      </w:r>
    </w:p>
    <w:p>
      <w:pPr>
        <w:pStyle w:val="BodyText"/>
      </w:pPr>
      <w:r>
        <w:t xml:space="preserve">Сформируем отчет пространства состояний. Из него может увидеть:</w:t>
      </w:r>
    </w:p>
    <w:p>
      <w:pPr>
        <w:numPr>
          <w:ilvl w:val="0"/>
          <w:numId w:val="1003"/>
        </w:numPr>
        <w:pStyle w:val="Compact"/>
      </w:pPr>
      <w:r>
        <w:t xml:space="preserve">В графе 4 узла и 3 дуги, соответственно 4 состояния и 3 перехода.</w:t>
      </w:r>
    </w:p>
    <w:p>
      <w:pPr>
        <w:numPr>
          <w:ilvl w:val="0"/>
          <w:numId w:val="1003"/>
        </w:numPr>
        <w:pStyle w:val="Compact"/>
      </w:pPr>
      <w:r>
        <w:t xml:space="preserve">Затем указаны границы значений для каждого элемента: голодные студенты (максимум - 3, минимум - 0), сытые студенты (максимум - 3, минимум - 0), еда (максимум - 5, минимум - 2, минимальное значение 2, так как в конце симуляции остаются пирожки).</w:t>
      </w:r>
    </w:p>
    <w:p>
      <w:pPr>
        <w:numPr>
          <w:ilvl w:val="0"/>
          <w:numId w:val="1003"/>
        </w:numPr>
        <w:pStyle w:val="Compact"/>
      </w:pPr>
      <w:r>
        <w:t xml:space="preserve">Также указаны границы мультимножеств.</w:t>
      </w:r>
    </w:p>
    <w:p>
      <w:pPr>
        <w:numPr>
          <w:ilvl w:val="0"/>
          <w:numId w:val="1003"/>
        </w:numPr>
        <w:pStyle w:val="Compact"/>
      </w:pPr>
      <w:r>
        <w:t xml:space="preserve">Маркировка home равная 4, так как в эту позицию мы можем попасть из любой другой маркировки.</w:t>
      </w:r>
    </w:p>
    <w:p>
      <w:pPr>
        <w:numPr>
          <w:ilvl w:val="0"/>
          <w:numId w:val="1003"/>
        </w:numPr>
        <w:pStyle w:val="Compact"/>
      </w:pPr>
      <w:r>
        <w:t xml:space="preserve">Маркировка dead равная 4, так как из неё переходов быть не может.</w:t>
      </w:r>
    </w:p>
    <w:p>
      <w:pPr>
        <w:numPr>
          <w:ilvl w:val="0"/>
          <w:numId w:val="1003"/>
        </w:numPr>
        <w:pStyle w:val="Compact"/>
      </w:pPr>
      <w:r>
        <w:t xml:space="preserve">В конце указано, что нет бесконечных последовательностей вхождений.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/home/openmodelica/Desktop/lab9.cpn</w:t>
      </w:r>
      <w:r>
        <w:br/>
      </w:r>
      <w:r>
        <w:rPr>
          <w:rStyle w:val="VerbatimChar"/>
        </w:rPr>
        <w:t xml:space="preserve">Report generated: Thu Mar 20 20:54:00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4</w:t>
      </w:r>
      <w:r>
        <w:br/>
      </w:r>
      <w:r>
        <w:rPr>
          <w:rStyle w:val="VerbatimChar"/>
        </w:rPr>
        <w:t xml:space="preserve">     Arcs:   3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nakormi_studenta'food 1 5          2</w:t>
      </w:r>
      <w:r>
        <w:br/>
      </w:r>
      <w:r>
        <w:rPr>
          <w:rStyle w:val="VerbatimChar"/>
        </w:rPr>
        <w:t xml:space="preserve">     nakormi_studenta'hungry_student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rPr>
          <w:rStyle w:val="VerbatimChar"/>
        </w:rPr>
        <w:t xml:space="preserve">     nakormi_studenta'satisfied_student 1</w:t>
      </w:r>
      <w:r>
        <w:br/>
      </w:r>
      <w:r>
        <w:rPr>
          <w:rStyle w:val="VerbatimChar"/>
        </w:rPr>
        <w:t xml:space="preserve">                             3          0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nakormi_studenta'food 1</w:t>
      </w:r>
      <w:r>
        <w:br/>
      </w:r>
      <w:r>
        <w:rPr>
          <w:rStyle w:val="VerbatimChar"/>
        </w:rPr>
        <w:t xml:space="preserve">                         5`pasty</w:t>
      </w:r>
      <w:r>
        <w:br/>
      </w:r>
      <w:r>
        <w:rPr>
          <w:rStyle w:val="VerbatimChar"/>
        </w:rPr>
        <w:t xml:space="preserve">     nakormi_studenta'hungry_student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rPr>
          <w:rStyle w:val="VerbatimChar"/>
        </w:rPr>
        <w:t xml:space="preserve">     nakormi_studenta'satisfied_student 1</w:t>
      </w:r>
      <w:r>
        <w:br/>
      </w:r>
      <w:r>
        <w:rPr>
          <w:rStyle w:val="VerbatimChar"/>
        </w:rPr>
        <w:t xml:space="preserve">                         3`student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nakormi_studenta'food 1</w:t>
      </w:r>
      <w:r>
        <w:br/>
      </w:r>
      <w:r>
        <w:rPr>
          <w:rStyle w:val="VerbatimChar"/>
        </w:rPr>
        <w:t xml:space="preserve">                         2`pasty</w:t>
      </w:r>
      <w:r>
        <w:br/>
      </w:r>
      <w:r>
        <w:rPr>
          <w:rStyle w:val="VerbatimChar"/>
        </w:rPr>
        <w:t xml:space="preserve">     nakormi_studenta'hungry_student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nakormi_studenta'satisfied_student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[4]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No infinite occurrence sequences.</w:t>
      </w:r>
    </w:p>
    <w:bookmarkEnd w:id="43"/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исследовали модель «Накорми студентов» с помощью программы</w:t>
      </w:r>
      <w:r>
        <w:t xml:space="preserve"> </w:t>
      </w:r>
      <w:r>
        <w:rPr>
          <w:iCs/>
          <w:i/>
        </w:rPr>
        <w:t xml:space="preserve">CPN Tools</w:t>
      </w:r>
      <w:r>
        <w:t xml:space="preserve">.</w:t>
      </w:r>
    </w:p>
    <w:bookmarkEnd w:id="45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6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№9. Модель «Накорми студентов» [Электронный ресурс].</w:t>
      </w:r>
    </w:p>
    <w:bookmarkEnd w:id="46"/>
    <w:bookmarkStart w:id="47" w:name="ref-cpn_t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Сети Петри. Моделирование в CPN Tools [Электронный ресурс].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Чемоданова Ангелина Александровна</dc:creator>
  <dc:language>ru-RU</dc:language>
  <cp:keywords/>
  <dcterms:created xsi:type="dcterms:W3CDTF">2025-03-23T14:47:18Z</dcterms:created>
  <dcterms:modified xsi:type="dcterms:W3CDTF">2025-03-23T14:47:18Z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«Накорми студентов»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