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27.png" ContentType="image/png"/>
  <Override PartName="/word/media/rId35.png" ContentType="image/png"/>
  <Override PartName="/word/media/rId31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M/M/1/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модель Модель M/M/1/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с помощью программы</w:t>
      </w:r>
      <w:r>
        <w:t xml:space="preserve"> </w:t>
      </w:r>
      <w:r>
        <w:rPr>
          <w:iCs/>
          <w:i/>
        </w:rPr>
        <w:t xml:space="preserve">xcos</w:t>
      </w:r>
      <w:r>
        <w:t xml:space="preserve">[1]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рассмотреть модель M/M/1/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в xcos</w:t>
      </w:r>
      <w:r>
        <w:t xml:space="preserve">[2]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 поступления и обработки заявок;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 димамики размера очереди.</w:t>
      </w:r>
    </w:p>
    <w:bookmarkEnd w:id="21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теоретическая-часть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Теоретическая часть</w:t>
      </w:r>
    </w:p>
    <w:p>
      <w:pPr>
        <w:pStyle w:val="FirstParagraph"/>
      </w:pPr>
      <w:r>
        <w:t xml:space="preserve">M|M|1|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— однолинейная СМО с накопителем бесконечной ёмкости. Поступающий поток заявок — пуассоновский с интенсивностью λ. Времена обслуживания заявок — независимые в совокупности случайные величины, распределённые по экспоненциальному закону с параметром µ. Рассмотрим реализацию данной модели с параметрами системы: lambda = 0.3 mu = 0.35</w:t>
      </w:r>
      <w:r>
        <w:t xml:space="preserve">[3]</w:t>
      </w:r>
      <w:r>
        <w:t xml:space="preserve">.</w:t>
      </w:r>
    </w:p>
    <w:bookmarkEnd w:id="22"/>
    <w:bookmarkStart w:id="63" w:name="реализация-модели-в-xco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модели в xcos</w:t>
      </w:r>
    </w:p>
    <w:p>
      <w:pPr>
        <w:pStyle w:val="FirstParagraph"/>
      </w:pPr>
      <w:r>
        <w:t xml:space="preserve">В меню Моделирование, Задать переменные окружения зададим значения переменных. (рис. 1).</w:t>
      </w:r>
    </w:p>
    <w:p>
      <w:pPr>
        <w:pStyle w:val="CaptionedFigure"/>
      </w:pPr>
      <w:bookmarkStart w:id="26" w:name="fig:001"/>
      <w:r>
        <w:drawing>
          <wp:inline>
            <wp:extent cx="3171625" cy="2135731"/>
            <wp:effectExtent b="0" l="0" r="0" t="0"/>
            <wp:docPr descr="Рис. 1: Ввод переменных окружен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625" cy="2135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Ввод переменных окружения</w:t>
      </w:r>
    </w:p>
    <w:p>
      <w:pPr>
        <w:pStyle w:val="BodyText"/>
      </w:pPr>
      <w:r>
        <w:t xml:space="preserve">Для реализации модели создадим суперблок моделирования поступления заявок в систему по пуассоновскому закону. (рис. 2).</w:t>
      </w:r>
    </w:p>
    <w:p>
      <w:pPr>
        <w:pStyle w:val="CaptionedFigure"/>
      </w:pPr>
      <w:bookmarkStart w:id="30" w:name="fig:002"/>
      <w:r>
        <w:drawing>
          <wp:inline>
            <wp:extent cx="4610366" cy="2404296"/>
            <wp:effectExtent b="0" l="0" r="0" t="0"/>
            <wp:docPr descr="Рис. 2: Суперблок, моделирующий поступление заявок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366" cy="2404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Суперблок, моделирующий поступление заявок</w:t>
      </w:r>
    </w:p>
    <w:p>
      <w:pPr>
        <w:pStyle w:val="BodyText"/>
      </w:pPr>
      <w:r>
        <w:t xml:space="preserve">Используемые блоки для суперблока, моделирующего постпуление заявок:</w:t>
      </w:r>
      <w:r>
        <w:t xml:space="preserve"> </w:t>
      </w:r>
      <w:r>
        <w:t xml:space="preserve">- RAND_M – генератор случайных чисел по равномерному распределению.</w:t>
      </w:r>
    </w:p>
    <w:p>
      <w:pPr>
        <w:numPr>
          <w:ilvl w:val="0"/>
          <w:numId w:val="1002"/>
        </w:numPr>
      </w:pPr>
      <w:r>
        <w:t xml:space="preserve">LOGBLCK_f – взятие логарифма от потока выхода случайных чисел, чтобы получить Пуассоновское распределение.</w:t>
      </w:r>
    </w:p>
    <w:p>
      <w:pPr>
        <w:numPr>
          <w:ilvl w:val="0"/>
          <w:numId w:val="1002"/>
        </w:numPr>
      </w:pPr>
      <w:r>
        <w:t xml:space="preserve">GAINBLCK_f – умножает сгенерированный поток по Пуассоновскому распределению на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</m:oMath>
    </w:p>
    <w:p>
      <w:pPr>
        <w:numPr>
          <w:ilvl w:val="0"/>
          <w:numId w:val="1002"/>
        </w:numPr>
      </w:pPr>
      <w:r>
        <w:t xml:space="preserve">EVTGEN_f – обработчик событий, так как для моделирования заявок будут использованы события.</w:t>
      </w:r>
    </w:p>
    <w:p>
      <w:pPr>
        <w:numPr>
          <w:ilvl w:val="0"/>
          <w:numId w:val="1002"/>
        </w:numPr>
      </w:pPr>
      <w:r>
        <w:t xml:space="preserve">CLKSOMV_f – синхронизация выходных и входных сигналов.</w:t>
      </w:r>
    </w:p>
    <w:p>
      <w:pPr>
        <w:numPr>
          <w:ilvl w:val="0"/>
          <w:numId w:val="1002"/>
        </w:numPr>
      </w:pPr>
      <w:r>
        <w:t xml:space="preserve">CLKINV_f – порт входа в суперблок.</w:t>
      </w:r>
    </w:p>
    <w:p>
      <w:pPr>
        <w:numPr>
          <w:ilvl w:val="0"/>
          <w:numId w:val="1002"/>
        </w:numPr>
      </w:pPr>
      <w:r>
        <w:t xml:space="preserve">CLKOUTV_f – порт выхода из суперблок.</w:t>
      </w:r>
    </w:p>
    <w:p>
      <w:pPr>
        <w:pStyle w:val="FirstParagraph"/>
      </w:pPr>
      <w:r>
        <w:t xml:space="preserve">Также создадим суперблок, моделирующий обработку заявок в очереди по экспоненциальному закону. (рис. 3).</w:t>
      </w:r>
    </w:p>
    <w:p>
      <w:pPr>
        <w:pStyle w:val="CaptionedFigure"/>
      </w:pPr>
      <w:bookmarkStart w:id="34" w:name="fig:003"/>
      <w:r>
        <w:drawing>
          <wp:inline>
            <wp:extent cx="5334000" cy="5497735"/>
            <wp:effectExtent b="0" l="0" r="0" t="0"/>
            <wp:docPr descr="Рис. 3: Суперблок, моделирующий обработку заявок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7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Суперблок, моделирующий обработку заявок</w:t>
      </w:r>
    </w:p>
    <w:p>
      <w:pPr>
        <w:pStyle w:val="BodyText"/>
      </w:pPr>
      <w:r>
        <w:t xml:space="preserve">Используемые блоки для суперблока, моделирующего обработку заявок:</w:t>
      </w:r>
      <w:r>
        <w:t xml:space="preserve"> </w:t>
      </w:r>
      <w:r>
        <w:t xml:space="preserve">- RAND_M – генератор случайных чисел по равномерному распределению.</w:t>
      </w:r>
    </w:p>
    <w:p>
      <w:pPr>
        <w:numPr>
          <w:ilvl w:val="0"/>
          <w:numId w:val="1003"/>
        </w:numPr>
      </w:pPr>
      <w:r>
        <w:t xml:space="preserve">sci_funk_m_block – задает математическое выражение</w:t>
      </w:r>
      <w:r>
        <w:t xml:space="preserve"> </w:t>
      </w:r>
      <m:oMath>
        <m:r>
          <m:t>y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l</m:t>
        </m:r>
        <m:r>
          <m:t>o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t>1</m:t>
            </m:r>
          </m:e>
        </m:d>
        <m:r>
          <m:rPr>
            <m:sty m:val="p"/>
          </m:rPr>
          <m:t>/</m:t>
        </m:r>
        <m:r>
          <m:t>m</m:t>
        </m:r>
        <m:r>
          <m:t>u</m:t>
        </m:r>
      </m:oMath>
      <w:r>
        <w:t xml:space="preserve">, которое ранее мы задавали блоками. (рис. 4).</w:t>
      </w:r>
    </w:p>
    <w:p>
      <w:pPr>
        <w:numPr>
          <w:ilvl w:val="0"/>
          <w:numId w:val="1003"/>
        </w:numPr>
      </w:pPr>
      <w:r>
        <w:t xml:space="preserve">EVTGEN_f – обработчик событий, так как для моделирования заявок будут использованы события.</w:t>
      </w:r>
    </w:p>
    <w:p>
      <w:pPr>
        <w:numPr>
          <w:ilvl w:val="0"/>
          <w:numId w:val="1003"/>
        </w:numPr>
      </w:pPr>
      <w:r>
        <w:t xml:space="preserve">CLKSOMV_f – синхронизация выходных и входных сигналов. В этом суперблоке их два.</w:t>
      </w:r>
    </w:p>
    <w:p>
      <w:pPr>
        <w:numPr>
          <w:ilvl w:val="0"/>
          <w:numId w:val="1003"/>
        </w:numPr>
      </w:pPr>
      <w:r>
        <w:t xml:space="preserve">IFHEL_f – два блока для определения длины очереди, если значение больше нуля, то сигнал подается.</w:t>
      </w:r>
    </w:p>
    <w:p>
      <w:pPr>
        <w:numPr>
          <w:ilvl w:val="0"/>
          <w:numId w:val="1003"/>
        </w:numPr>
      </w:pPr>
      <w:r>
        <w:t xml:space="preserve">CLKINV_f – входы для запуска и для сообщения о том, что сообщение пришло в очередь, чтобы по разному обрабатывать пустую и не пустую очередь.</w:t>
      </w:r>
    </w:p>
    <w:p>
      <w:pPr>
        <w:numPr>
          <w:ilvl w:val="0"/>
          <w:numId w:val="1003"/>
        </w:numPr>
      </w:pPr>
      <w:r>
        <w:t xml:space="preserve">IN_f, CONST_M – проверка на длину очереди.</w:t>
      </w:r>
    </w:p>
    <w:p>
      <w:pPr>
        <w:pStyle w:val="CaptionedFigure"/>
      </w:pPr>
      <w:bookmarkStart w:id="38" w:name="fig:004"/>
      <w:r>
        <w:drawing>
          <wp:inline>
            <wp:extent cx="2231647" cy="1310853"/>
            <wp:effectExtent b="0" l="0" r="0" t="0"/>
            <wp:docPr descr="Рис. 4: Определение функции в блоке “sci_funk_m_block”" title="" id="36" name="Picture"/>
            <a:graphic>
              <a:graphicData uri="http://schemas.openxmlformats.org/drawingml/2006/picture">
                <pic:pic>
                  <pic:nvPicPr>
                    <pic:cNvPr descr="image/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647" cy="1310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Определение функции в блоке</w:t>
      </w:r>
      <w:r>
        <w:t xml:space="preserve"> </w:t>
      </w:r>
      <w:r>
        <w:t xml:space="preserve">“</w:t>
      </w:r>
      <w:r>
        <w:t xml:space="preserve">sci_funk_m_block</w:t>
      </w:r>
      <w:r>
        <w:t xml:space="preserve">”</w:t>
      </w:r>
    </w:p>
    <w:p>
      <w:pPr>
        <w:pStyle w:val="BodyText"/>
      </w:pPr>
      <w:r>
        <w:t xml:space="preserve">Реализуем готовую модель M|M|1|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в</w:t>
      </w:r>
      <w:r>
        <w:t xml:space="preserve"> </w:t>
      </w:r>
      <w:r>
        <w:rPr>
          <w:iCs/>
          <w:i/>
        </w:rPr>
        <w:t xml:space="preserve">xcos</w:t>
      </w:r>
      <w:r>
        <w:t xml:space="preserve">.</w:t>
      </w:r>
    </w:p>
    <w:p>
      <w:pPr>
        <w:pStyle w:val="BodyText"/>
      </w:pPr>
      <w:r>
        <w:t xml:space="preserve">Используемые блоки для готовой модели:</w:t>
      </w:r>
      <w:r>
        <w:t xml:space="preserve"> </w:t>
      </w:r>
      <w:r>
        <w:t xml:space="preserve">- SELECTOR_M – берёт входные сигналы и с помощью управляющих сигналов будет добавлять вход к очереди, либо считывать. У него три входа – для поступления заявок, обработки заявок и начальной синхронизации.</w:t>
      </w:r>
    </w:p>
    <w:p>
      <w:pPr>
        <w:numPr>
          <w:ilvl w:val="0"/>
          <w:numId w:val="1004"/>
        </w:numPr>
      </w:pPr>
      <w:r>
        <w:t xml:space="preserve">CONST_M – поступление заявки выражается 1, обслуживание заявки – -1, первоначальная синхронизация – 0.</w:t>
      </w:r>
    </w:p>
    <w:p>
      <w:pPr>
        <w:numPr>
          <w:ilvl w:val="0"/>
          <w:numId w:val="1004"/>
        </w:numPr>
      </w:pPr>
      <w:r>
        <w:t xml:space="preserve">EVTGEN_f – запуск первоначального события в нулевой момент времени.</w:t>
      </w:r>
    </w:p>
    <w:p>
      <w:pPr>
        <w:numPr>
          <w:ilvl w:val="0"/>
          <w:numId w:val="1004"/>
        </w:numPr>
      </w:pPr>
      <w:r>
        <w:t xml:space="preserve">DOLLAR_f – блок для иммитации очереди, на него приходит управление, которое синхронизируется с источника и с обработчика. (рис. 5).</w:t>
      </w:r>
    </w:p>
    <w:p>
      <w:pPr>
        <w:numPr>
          <w:ilvl w:val="0"/>
          <w:numId w:val="1004"/>
        </w:numPr>
      </w:pPr>
      <w:r>
        <w:t xml:space="preserve">CSCOPE – для отрисовки длины очереди. (рис. 6).</w:t>
      </w:r>
    </w:p>
    <w:p>
      <w:pPr>
        <w:numPr>
          <w:ilvl w:val="0"/>
          <w:numId w:val="1004"/>
        </w:numPr>
      </w:pPr>
      <w:r>
        <w:t xml:space="preserve">CEVEBTSCOPE – обработка событий. (рис. 7).</w:t>
      </w:r>
    </w:p>
    <w:p>
      <w:pPr>
        <w:pStyle w:val="CaptionedFigure"/>
      </w:pPr>
      <w:bookmarkStart w:id="42" w:name="fig:005"/>
      <w:r>
        <w:drawing>
          <wp:inline>
            <wp:extent cx="2461846" cy="1771250"/>
            <wp:effectExtent b="0" l="0" r="0" t="0"/>
            <wp:docPr descr="Рис. 5: Ввод значений в блоке “DOLLAR_f”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846" cy="177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Ввод значений в блоке</w:t>
      </w:r>
      <w:r>
        <w:t xml:space="preserve"> </w:t>
      </w:r>
      <w:r>
        <w:t xml:space="preserve">“</w:t>
      </w:r>
      <w:r>
        <w:t xml:space="preserve">DOLLAR_f</w:t>
      </w:r>
      <w:r>
        <w:t xml:space="preserve">”</w:t>
      </w:r>
    </w:p>
    <w:p>
      <w:pPr>
        <w:pStyle w:val="CaptionedFigure"/>
      </w:pPr>
      <w:bookmarkStart w:id="46" w:name="fig:006"/>
      <w:r>
        <w:drawing>
          <wp:inline>
            <wp:extent cx="3190808" cy="3497739"/>
            <wp:effectExtent b="0" l="0" r="0" t="0"/>
            <wp:docPr descr="Рис. 6: Изменение параметров в блоке “CSCOPE”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08" cy="3497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Изменение параметров в блоке</w:t>
      </w:r>
      <w:r>
        <w:t xml:space="preserve"> </w:t>
      </w:r>
      <w:r>
        <w:t xml:space="preserve">“</w:t>
      </w:r>
      <w:r>
        <w:t xml:space="preserve">CSCOPE</w:t>
      </w:r>
      <w:r>
        <w:t xml:space="preserve">”</w:t>
      </w:r>
    </w:p>
    <w:p>
      <w:pPr>
        <w:pStyle w:val="CaptionedFigure"/>
      </w:pPr>
      <w:bookmarkStart w:id="50" w:name="fig:007"/>
      <w:r>
        <w:drawing>
          <wp:inline>
            <wp:extent cx="3363457" cy="2839116"/>
            <wp:effectExtent b="0" l="0" r="0" t="0"/>
            <wp:docPr descr="Рис. 7: Изменение параметров в блоке “CEVEBTSCOPE”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457" cy="2839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Изменение параметров в блоке</w:t>
      </w:r>
      <w:r>
        <w:t xml:space="preserve"> </w:t>
      </w:r>
      <w:r>
        <w:t xml:space="preserve">“</w:t>
      </w:r>
      <w:r>
        <w:t xml:space="preserve">CEVEBTSCOPE</w:t>
      </w:r>
      <w:r>
        <w:t xml:space="preserve">”</w:t>
      </w:r>
    </w:p>
    <w:p>
      <w:pPr>
        <w:pStyle w:val="BodyText"/>
      </w:pPr>
      <w:r>
        <w:t xml:space="preserve">Готовая модель M|M|1|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в</w:t>
      </w:r>
      <w:r>
        <w:t xml:space="preserve"> </w:t>
      </w:r>
      <w:r>
        <w:rPr>
          <w:iCs/>
          <w:i/>
        </w:rPr>
        <w:t xml:space="preserve">xcos</w:t>
      </w:r>
      <w:r>
        <w:t xml:space="preserve"> </w:t>
      </w:r>
      <w:r>
        <w:t xml:space="preserve">(рис. 8).</w:t>
      </w:r>
    </w:p>
    <w:p>
      <w:pPr>
        <w:pStyle w:val="CaptionedFigure"/>
      </w:pPr>
      <w:bookmarkStart w:id="54" w:name="fig:008"/>
      <w:r>
        <w:drawing>
          <wp:inline>
            <wp:extent cx="4111602" cy="3357062"/>
            <wp:effectExtent b="0" l="0" r="0" t="0"/>
            <wp:docPr descr="Рис. 8: Модель M|M|1|\infty в xcos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602" cy="335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Модель M|M|1|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в xcos</w:t>
      </w:r>
    </w:p>
    <w:p>
      <w:pPr>
        <w:pStyle w:val="BodyText"/>
      </w:pPr>
      <w:r>
        <w:t xml:space="preserve">После моделирования получим следующие графики(рис. 9, 10).</w:t>
      </w:r>
    </w:p>
    <w:p>
      <w:pPr>
        <w:pStyle w:val="CaptionedFigure"/>
      </w:pPr>
      <w:bookmarkStart w:id="58" w:name="fig:009"/>
      <w:r>
        <w:drawing>
          <wp:inline>
            <wp:extent cx="4111602" cy="2692044"/>
            <wp:effectExtent b="0" l="0" r="0" t="0"/>
            <wp:docPr descr="Рис. 9: Поступление (черные) и обработка (зеленые) заявок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602" cy="2692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Поступление (черные) и обработка (зеленые) заявок</w:t>
      </w:r>
    </w:p>
    <w:p>
      <w:pPr>
        <w:pStyle w:val="CaptionedFigure"/>
      </w:pPr>
      <w:bookmarkStart w:id="62" w:name="fig:010"/>
      <w:r>
        <w:drawing>
          <wp:inline>
            <wp:extent cx="4034869" cy="2647283"/>
            <wp:effectExtent b="0" l="0" r="0" t="0"/>
            <wp:docPr descr="Рис. 10: Динамика размера очереди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869" cy="2647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Динамика размера очереди</w:t>
      </w:r>
    </w:p>
    <w:bookmarkEnd w:id="63"/>
    <w:bookmarkEnd w:id="64"/>
    <w:bookmarkStart w:id="6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исследовали модель Модель M/M/1/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с помощью программы</w:t>
      </w:r>
      <w:r>
        <w:t xml:space="preserve"> </w:t>
      </w:r>
      <w:r>
        <w:rPr>
          <w:iCs/>
          <w:i/>
        </w:rPr>
        <w:t xml:space="preserve">xcos</w:t>
      </w:r>
      <w:r>
        <w:t xml:space="preserve">.</w:t>
      </w:r>
    </w:p>
    <w:bookmarkEnd w:id="65"/>
    <w:bookmarkStart w:id="70" w:name="список-литературы"/>
    <w:p>
      <w:pPr>
        <w:pStyle w:val="Heading1"/>
      </w:pPr>
      <w:r>
        <w:t xml:space="preserve">Список литературы</w:t>
      </w:r>
    </w:p>
    <w:bookmarkStart w:id="69" w:name="refs"/>
    <w:bookmarkStart w:id="66" w:name="ref-lab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А.В., Кулябов Д.С. Лабораторная работа №7. Модель M|M|1 [Электронный ресурс].</w:t>
      </w:r>
    </w:p>
    <w:bookmarkEnd w:id="66"/>
    <w:bookmarkStart w:id="67" w:name="ref-x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Королькова А.В., Кулябов Д.С. Компонентное моделирование. Scilab, подсистема xcos [Электронный ресурс].</w:t>
      </w:r>
    </w:p>
    <w:bookmarkEnd w:id="67"/>
    <w:bookmarkStart w:id="68" w:name="ref-lab_3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Королькова А.В., Кулябов Д.С. Лабораторная работа №3. Моделирование стохастических процессов [Электронный ресурс].</w:t>
      </w:r>
    </w:p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Чемоданова Ангелина Александровна</dc:creator>
  <dc:language>ru-RU</dc:language>
  <cp:keywords/>
  <dcterms:created xsi:type="dcterms:W3CDTF">2025-03-15T15:27:34Z</dcterms:created>
  <dcterms:modified xsi:type="dcterms:W3CDTF">2025-03-15T15:27:34Z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Модель M/M/1/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