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Чемоданова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операционную систему на виртуальную машину.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Операционная система, сокр. ОС — программное обеспечение, управляющее аппаратным обеспечением, предоставляющее абстрактный программный интерфейс для взаимодействия с ним и занимающееся распределением предоставляемых ресурсов, в том числе между прикладными программами.</w:t>
      </w:r>
    </w:p>
    <w:p>
      <w:pPr>
        <w:pStyle w:val="BodyText"/>
      </w:pPr>
      <w:r>
        <w:t xml:space="preserve">VirtualBox — программный продукт виртуализации для операционных систем Windows, Linux, FreeBSD, macOS, Solaris/OpenSolaris, ReactOS, DOS и других.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Запускаем VirtualBox и создаем новую виртуальную машину. Указываем имя виртуальной машины (логин в дисплейном классе), тип операционной системы — Linux, Rocky.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884264"/>
            <wp:effectExtent b="0" l="0" r="0" t="0"/>
            <wp:docPr descr="Figure 1: Окно “Имя и операционная системы виртуальной машины”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Окно</w:t>
      </w:r>
      <w:r>
        <w:t xml:space="preserve"> </w:t>
      </w:r>
      <w:r>
        <w:t xml:space="preserve">“</w:t>
      </w:r>
      <w:r>
        <w:t xml:space="preserve">Имя и операционная системы виртуальной машины</w:t>
      </w:r>
      <w:r>
        <w:t xml:space="preserve">”</w:t>
      </w:r>
    </w:p>
    <w:bookmarkEnd w:id="0"/>
    <w:p>
      <w:pPr>
        <w:pStyle w:val="BodyText"/>
      </w:pPr>
      <w:r>
        <w:t xml:space="preserve">Указываем размер основной памяти виртуальной машины — от 2048 МБ.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883752"/>
            <wp:effectExtent b="0" l="0" r="0" t="0"/>
            <wp:docPr descr="Figure 2: Окно “Оборудование”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Окно</w:t>
      </w:r>
      <w:r>
        <w:t xml:space="preserve"> </w:t>
      </w:r>
      <w:r>
        <w:t xml:space="preserve">“</w:t>
      </w:r>
      <w:r>
        <w:t xml:space="preserve">Оборудование</w:t>
      </w:r>
      <w:r>
        <w:t xml:space="preserve">”</w:t>
      </w:r>
    </w:p>
    <w:bookmarkEnd w:id="0"/>
    <w:p>
      <w:pPr>
        <w:pStyle w:val="BodyText"/>
      </w:pPr>
      <w:r>
        <w:t xml:space="preserve">Затем выбираем</w:t>
      </w:r>
      <w:r>
        <w:t xml:space="preserve"> </w:t>
      </w:r>
      <w:r>
        <w:t xml:space="preserve">“</w:t>
      </w:r>
      <w:r>
        <w:t xml:space="preserve">Создать новый виртуальный жесткий диск</w:t>
      </w:r>
      <w:r>
        <w:t xml:space="preserve">”</w:t>
      </w:r>
      <w:r>
        <w:t xml:space="preserve">. Задаем размер диска — 20 ГБ (или больше). 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890561"/>
            <wp:effectExtent b="0" l="0" r="0" t="0"/>
            <wp:docPr descr="Figure 3: Окно “Виртуальный жесткий диск”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bookmarkEnd w:id="0"/>
    <w:p>
      <w:pPr>
        <w:pStyle w:val="BodyText"/>
      </w:pPr>
      <w:r>
        <w:t xml:space="preserve">Подытоживаем конфигурацию виртуальной машины и нажимаем</w:t>
      </w:r>
      <w:r>
        <w:t xml:space="preserve"> </w:t>
      </w:r>
      <w:r>
        <w:t xml:space="preserve">“</w:t>
      </w:r>
      <w:r>
        <w:t xml:space="preserve">Готово</w:t>
      </w:r>
      <w:r>
        <w:t xml:space="preserve">”</w:t>
      </w:r>
      <w:r>
        <w:t xml:space="preserve">. 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931808"/>
            <wp:effectExtent b="0" l="0" r="0" t="0"/>
            <wp:docPr descr="Figure 4: Окно “Итог”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1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Окно</w:t>
      </w:r>
      <w:r>
        <w:t xml:space="preserve"> </w:t>
      </w:r>
      <w:r>
        <w:t xml:space="preserve">“</w:t>
      </w:r>
      <w:r>
        <w:t xml:space="preserve">Итог</w:t>
      </w:r>
      <w:r>
        <w:t xml:space="preserve">”</w:t>
      </w:r>
    </w:p>
    <w:bookmarkEnd w:id="0"/>
    <w:p>
      <w:pPr>
        <w:pStyle w:val="BodyText"/>
      </w:pPr>
      <w:r>
        <w:t xml:space="preserve">Теперь мы можем запустить нашу настроенную виртуальную машину. 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5572835"/>
            <wp:effectExtent b="0" l="0" r="0" t="0"/>
            <wp:docPr descr="Figure 5: Установленная виртуальная машина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2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Установленная виртуальная машина</w:t>
      </w:r>
    </w:p>
    <w:bookmarkEnd w:id="0"/>
    <w:p>
      <w:pPr>
        <w:pStyle w:val="BodyText"/>
      </w:pPr>
      <w:r>
        <w:t xml:space="preserve">Подключение образа оптического диска. 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753314"/>
            <wp:effectExtent b="0" l="0" r="0" t="0"/>
            <wp:docPr descr="Figure 6: Окно “Носители”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Запускаем виртуальную машину. Выбираем язык. 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633787"/>
            <wp:effectExtent b="0" l="0" r="0" t="0"/>
            <wp:docPr descr="Figure 7: Выбор языка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Выбор языка</w:t>
      </w:r>
    </w:p>
    <w:bookmarkEnd w:id="0"/>
    <w:p>
      <w:pPr>
        <w:pStyle w:val="BodyText"/>
      </w:pPr>
      <w:r>
        <w:t xml:space="preserve">Окно настройки установки.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617118"/>
            <wp:effectExtent b="0" l="0" r="0" t="0"/>
            <wp:docPr descr="Figure 8: Окно настройки установки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Окно настройки установки</w:t>
      </w:r>
    </w:p>
    <w:bookmarkEnd w:id="0"/>
    <w:p>
      <w:pPr>
        <w:pStyle w:val="BodyText"/>
      </w:pPr>
      <w:r>
        <w:t xml:space="preserve">Окно настройки установки: выбор программ.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683793"/>
            <wp:effectExtent b="0" l="0" r="0" t="0"/>
            <wp:docPr descr="Figure 9: Окно настройки установки: выбор программ.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Окно настройки установки: выбор программ.</w:t>
      </w:r>
    </w:p>
    <w:bookmarkEnd w:id="0"/>
    <w:p>
      <w:pPr>
        <w:pStyle w:val="BodyText"/>
      </w:pPr>
      <w:r>
        <w:t xml:space="preserve">Отключение KDUMP.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629620"/>
            <wp:effectExtent b="0" l="0" r="0" t="0"/>
            <wp:docPr descr="Figure 10: Отключение KDUMP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Отключение KDUMP</w:t>
      </w:r>
    </w:p>
    <w:bookmarkEnd w:id="0"/>
    <w:p>
      <w:pPr>
        <w:pStyle w:val="BodyText"/>
      </w:pPr>
      <w:r>
        <w:t xml:space="preserve">Место установки.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646289"/>
            <wp:effectExtent b="0" l="0" r="0" t="0"/>
            <wp:docPr descr="Figure 11: Место установки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Место установки</w:t>
      </w:r>
    </w:p>
    <w:bookmarkEnd w:id="0"/>
    <w:p>
      <w:pPr>
        <w:pStyle w:val="BodyText"/>
      </w:pPr>
      <w:r>
        <w:t xml:space="preserve">Сеть и имя узла.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683793"/>
            <wp:effectExtent b="0" l="0" r="0" t="0"/>
            <wp:docPr descr="Figure 12: Сеть и имя узла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Сеть и имя узла</w:t>
      </w:r>
    </w:p>
    <w:bookmarkEnd w:id="0"/>
    <w:p>
      <w:pPr>
        <w:pStyle w:val="BodyText"/>
      </w:pPr>
      <w:r>
        <w:t xml:space="preserve">Установка пароля для root.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654623"/>
            <wp:effectExtent b="0" l="0" r="0" t="0"/>
            <wp:docPr descr="Figure 13: Установка пароля для root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Установка пароля для root.</w:t>
      </w:r>
    </w:p>
    <w:bookmarkEnd w:id="0"/>
    <w:p>
      <w:pPr>
        <w:pStyle w:val="BodyText"/>
      </w:pPr>
      <w:r>
        <w:t xml:space="preserve">Установка пароля для пользователя с правами администратора.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679626"/>
            <wp:effectExtent b="0" l="0" r="0" t="0"/>
            <wp:docPr descr="Figure 14: Установка пароля для пользователя с правами администрато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Установка пароля для пользователя с правами администратора</w:t>
      </w:r>
    </w:p>
    <w:bookmarkEnd w:id="0"/>
    <w:p>
      <w:pPr>
        <w:pStyle w:val="BodyText"/>
      </w:pPr>
      <w:r>
        <w:t xml:space="preserve">Завершение установки ОС.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579614"/>
            <wp:effectExtent b="0" l="0" r="0" t="0"/>
            <wp:docPr descr="Figure 15: Завершение установки ОС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Завершение установки ОС</w:t>
      </w:r>
    </w:p>
    <w:bookmarkEnd w:id="0"/>
    <w:p>
      <w:pPr>
        <w:pStyle w:val="BodyText"/>
      </w:pPr>
      <w:r>
        <w:t xml:space="preserve">Экран Rocky.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691800"/>
            <wp:effectExtent b="0" l="0" r="0" t="0"/>
            <wp:docPr descr="Figure 16: Экран Rocky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Экран Rocky</w:t>
      </w:r>
    </w:p>
    <w:bookmarkEnd w:id="0"/>
    <w:p>
      <w:pPr>
        <w:pStyle w:val="BodyText"/>
      </w:pPr>
      <w:r>
        <w:t xml:space="preserve">Подключение образа диска дополнительной гостевой ОС.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646289"/>
            <wp:effectExtent b="0" l="0" r="0" t="0"/>
            <wp:docPr descr="Figure 17: Подключение образа диска дополнительной гостевой ОС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Подключение образа диска дополнительной гостевой ОС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Домашнее задание.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4899660" cy="3467100"/>
            <wp:effectExtent b="0" l="0" r="0" t="0"/>
            <wp:docPr descr="Figure 18: Домашнее задание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Домашнее задание</w:t>
      </w:r>
    </w:p>
    <w:bookmarkEnd w:id="0"/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мы приобрели практические навыки установки операционной системы на виртуальную машину, а также настройки минимально необходимых для дальнейшей работы сервисов.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Учетная запись пользователя содержит необходимые для идентификации пользователя при подключении к системе, а также информацию для авторизации и учёта:</w:t>
      </w:r>
      <w:r>
        <w:t xml:space="preserve"> </w:t>
      </w:r>
      <w:r>
        <w:t xml:space="preserve">Системное имя (user name). Оно может содержать только латинские буквы и знаки “ _ “. Также оно должно быть уникальным.</w:t>
      </w:r>
      <w:r>
        <w:t xml:space="preserve"> </w:t>
      </w:r>
      <w:r>
        <w:t xml:space="preserve">Идентификатор пользователя (UID) Уникальный идентификатор пользователя в системе, целое положительное число.</w:t>
      </w:r>
      <w:r>
        <w:t xml:space="preserve"> </w:t>
      </w:r>
      <w:r>
        <w:t xml:space="preserve">Идентификатор группы (CID). Группа, к которой относится пользователь. Она, как минимум, одна – группа по умолчанию.</w:t>
      </w:r>
      <w:r>
        <w:t xml:space="preserve"> </w:t>
      </w:r>
      <w:r>
        <w:t xml:space="preserve">Полное имя (full name). Может присутствовать имя, фамилия, отчество.</w:t>
      </w:r>
      <w:r>
        <w:t xml:space="preserve"> </w:t>
      </w:r>
      <w:r>
        <w:t xml:space="preserve">Домашний каталог (home directory). Каталог, в который попадает пользователь после входа в систему и в котором хранятся его данные.</w:t>
      </w:r>
      <w:r>
        <w:t xml:space="preserve"> </w:t>
      </w:r>
      <w:r>
        <w:t xml:space="preserve">Начальная оболочка (login shell). Командная оболочка, которая запускается при входе в систему.</w:t>
      </w:r>
    </w:p>
    <w:p>
      <w:pPr>
        <w:numPr>
          <w:ilvl w:val="0"/>
          <w:numId w:val="1004"/>
        </w:numPr>
      </w:pPr>
      <w:r>
        <w:t xml:space="preserve">Команды терминала:</w:t>
      </w:r>
      <w:r>
        <w:t xml:space="preserve"> </w:t>
      </w:r>
      <w:r>
        <w:t xml:space="preserve"> </w:t>
      </w:r>
      <w:r>
        <w:t xml:space="preserve">—help – для получения справки по команде;</w:t>
      </w:r>
      <w:r>
        <w:t xml:space="preserve"> </w:t>
      </w:r>
      <w:r>
        <w:t xml:space="preserve">cd – для перемещения по файловой системе;</w:t>
      </w:r>
      <w:r>
        <w:t xml:space="preserve"> </w:t>
      </w:r>
      <w:r>
        <w:t xml:space="preserve">ls – для просмотра содержимого каталога;</w:t>
      </w:r>
      <w:r>
        <w:t xml:space="preserve"> </w:t>
      </w:r>
      <w:r>
        <w:t xml:space="preserve">du</w:t>
      </w:r>
      <w:r>
        <w:t xml:space="preserve"> </w:t>
      </w:r>
      <w:r>
        <w:t xml:space="preserve">– для определения объёма каталога;</w:t>
      </w:r>
      <w:r>
        <w:t xml:space="preserve"> </w:t>
      </w:r>
      <w:r>
        <w:t xml:space="preserve">mkdir/rmdir– для создания / удаления каталогов</w:t>
      </w:r>
      <w:r>
        <w:t xml:space="preserve"> </w:t>
      </w:r>
      <w:r>
        <w:t xml:space="preserve">touch/rm - для создания / удаления файлов;</w:t>
      </w:r>
      <w:r>
        <w:t xml:space="preserve"> </w:t>
      </w:r>
      <w:r>
        <w:t xml:space="preserve">chmod– для задания определённых прав на файл / каталог;</w:t>
      </w:r>
      <w:r>
        <w:t xml:space="preserve"> </w:t>
      </w:r>
      <w:r>
        <w:t xml:space="preserve">history– для просмотра истории команд.</w:t>
      </w:r>
    </w:p>
    <w:p>
      <w:pPr>
        <w:numPr>
          <w:ilvl w:val="0"/>
          <w:numId w:val="1004"/>
        </w:numPr>
      </w:pPr>
      <w:r>
        <w:t xml:space="preserve">Файловая система – это порядок, определяющий способ организации и хранения и именования данных на различных носителях информации. Имеет классификацию: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FAT32 – файловая система, представляющая собой пространство, разделенное на три части: одна область для служебных структур, форма указателей в виде таблиц и зона для хранения самих файлов.</w:t>
      </w:r>
      <w:r>
        <w:t xml:space="preserve"> </w:t>
      </w:r>
      <w:r>
        <w:t xml:space="preserve">ext3/ext4 – журналируемая файловая система, используется в основном в ОС с ядром Linux. Максимальный размер файла в последней версии увеличен до 16 Гб, а скорость работы значительно увеличилась.</w:t>
      </w:r>
    </w:p>
    <w:p>
      <w:pPr>
        <w:numPr>
          <w:ilvl w:val="0"/>
          <w:numId w:val="1004"/>
        </w:numPr>
      </w:pPr>
      <w:r>
        <w:t xml:space="preserve">С помощью команды df, введя ее в терминале. Это утилита, которая показывает список всех файловых систем по именам устройств, сообщает их размер и данные о памяти. Также можно посмотреть тип файловой системы вручную в свойствах папок.</w:t>
      </w:r>
    </w:p>
    <w:p>
      <w:pPr>
        <w:numPr>
          <w:ilvl w:val="0"/>
          <w:numId w:val="1004"/>
        </w:numPr>
      </w:pPr>
      <w:r>
        <w:t xml:space="preserve">Чтобы удалить зависший процесс, вначале мы должны узнать, какой у него id. Для этого можно использовать команду ps. После в терминале необходимо ввести команду kill</w:t>
      </w:r>
      <w:r>
        <w:t xml:space="preserve"> </w:t>
      </w:r>
      <w:r>
        <w:t xml:space="preserve">. Либо можно воспользоваться командой killall, и это «убьет» все процессы, которые есть в данный момент. Это удобно тем, что нам не нужно знать id процесса.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Чемоданова Ангелина Александровна</dc:creator>
  <dc:language>ru-RU</dc:language>
  <cp:keywords/>
  <dcterms:created xsi:type="dcterms:W3CDTF">2024-02-17T07:53:34Z</dcterms:created>
  <dcterms:modified xsi:type="dcterms:W3CDTF">2024-02-17T07:53:34Z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