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aps w:val="false"/>
          <w:color w:val="081C3A"/>
          <w:sz w:val="40"/>
          <w:szCs w:val="40"/>
        </w:rPr>
        <w:t xml:space="preserve">PROPEL</w:t>
      </w:r>
      <w:r>
        <w:rPr>
          <w:rFonts w:ascii="Calibri" w:cs="Calibri" w:eastAsia="Calibri" w:hAnsi="Calibri"/>
          <w:b/>
          <w:bCs/>
          <w:i w:val="false"/>
          <w:iCs w:val="false"/>
          <w:caps w:val="false"/>
          <w:color w:val="00A85A"/>
          <w:sz w:val="30"/>
          <w:szCs w:val="30"/>
        </w:rPr>
        <w:t xml:space="preserve">  ▲</w:t>
      </w:r>
    </w:p>
    <w:p>
      <w:pPr>
        <w:pBdr>
          <w:bottom w:val="single" w:color="00A85A" w:sz="12"/>
        </w:pBdr>
        <w:spacing w:after="500" w:before="0"/>
      </w:pPr>
      <w:r>
        <w:rPr>
          <w:rFonts w:ascii="Calibri" w:cs="Calibri" w:eastAsia="Calibri" w:hAnsi="Calibri"/>
          <w:b w:val="false"/>
          <w:bCs w:val="false"/>
          <w:i/>
          <w:iCs/>
          <w:caps w:val="false"/>
          <w:color w:val="5A6472"/>
          <w:sz w:val="20"/>
          <w:szCs w:val="20"/>
        </w:rPr>
        <w:t xml:space="preserve">We move property.</w:t>
      </w:r>
    </w:p>
    <w:p>
      <w:pPr>
        <w:spacing w:after="60" w:before="200"/>
      </w:pPr>
      <w:r>
        <w:rPr>
          <w:rFonts w:ascii="Calibri" w:cs="Calibri" w:eastAsia="Calibri" w:hAnsi="Calibri"/>
          <w:b/>
          <w:bCs/>
          <w:i w:val="false"/>
          <w:iCs w:val="false"/>
          <w:caps/>
          <w:color w:val="00A85A"/>
          <w:sz w:val="22"/>
          <w:szCs w:val="22"/>
        </w:rPr>
        <w:t xml:space="preserve">PROPERTY FACTS SHEET</w:t>
      </w:r>
    </w:p>
    <w:p>
      <w:pPr>
        <w:spacing w:after="60" w:before="0"/>
      </w:pPr>
      <w:r>
        <w:rPr>
          <w:rFonts w:ascii="Calibri" w:cs="Calibri" w:eastAsia="Calibri" w:hAnsi="Calibri"/>
          <w:b/>
          <w:bCs/>
          <w:i w:val="false"/>
          <w:iCs w:val="false"/>
          <w:caps w:val="false"/>
          <w:color w:val="081C3A"/>
          <w:sz w:val="52"/>
          <w:szCs w:val="52"/>
        </w:rPr>
        <w:t xml:space="preserve">Shalom Park Estate</w:t>
      </w:r>
    </w:p>
    <w:p>
      <w:pPr>
        <w:spacing w:after="400" w:before="0"/>
      </w:pPr>
      <w:r>
        <w:rPr>
          <w:rFonts w:ascii="Calibri" w:cs="Calibri" w:eastAsia="Calibri" w:hAnsi="Calibri"/>
          <w:b w:val="false"/>
          <w:bCs w:val="false"/>
          <w:i w:val="false"/>
          <w:iCs w:val="false"/>
          <w:caps w:val="false"/>
          <w:color w:val="5A6472"/>
          <w:sz w:val="22"/>
          <w:szCs w:val="22"/>
        </w:rPr>
        <w:t xml:space="preserve">IFT Realty Ltd  ·  Abijo, Ibeju-Lekki, Lagos State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0A85A" w:sz="18"/>
              <w:bottom w:val="none" w:color="FFFFFF" w:sz="0"/>
              <w:right w:val="none" w:color="FFFFFF" w:sz="0"/>
            </w:tcBorders>
            <w:shd w:fill="F4F7FA" w:color="auto" w:val="clear"/>
            <w:tcMar>
              <w:top w:type="dxa" w:w="160"/>
              <w:left w:type="dxa" w:w="180"/>
              <w:bottom w:type="dxa" w:w="160"/>
              <w:right w:type="dxa" w:w="180"/>
            </w:tcMar>
          </w:tcPr>
          <w:p>
            <w:pPr>
              <w:spacing w:after="120" w:before="0"/>
              <w:jc w:val="left"/>
            </w:pPr>
            <w:r>
              <w:rPr>
                <w:rFonts w:ascii="Calibri" w:cs="Calibri" w:eastAsia="Calibri" w:hAnsi="Calibri"/>
                <w:b/>
                <w:bCs/>
                <w:i w:val="false"/>
                <w:iCs w:val="false"/>
                <w:caps w:val="false"/>
                <w:color w:val="081C3A"/>
                <w:sz w:val="22"/>
                <w:szCs w:val="22"/>
              </w:rPr>
              <w:t xml:space="preserve">What this document is for</w:t>
            </w:r>
          </w:p>
          <w:p>
            <w:pPr>
              <w:spacing w:after="140" w:before="0"/>
              <w:jc w:val="left"/>
            </w:pPr>
            <w:r>
              <w:rPr>
                <w:rFonts w:ascii="Calibri" w:cs="Calibri" w:eastAsia="Calibri" w:hAnsi="Calibri"/>
                <w:b w:val="false"/>
                <w:bCs w:val="false"/>
                <w:i w:val="false"/>
                <w:iCs w:val="false"/>
                <w:caps w:val="false"/>
                <w:color w:val="20303F"/>
                <w:sz w:val="20"/>
                <w:szCs w:val="20"/>
              </w:rPr>
              <w:t xml:space="preserve">This sheet is the </w:t>
            </w:r>
            <w:r>
              <w:rPr>
                <w:rFonts w:ascii="Calibri" w:cs="Calibri" w:eastAsia="Calibri" w:hAnsi="Calibri"/>
                <w:b/>
                <w:bCs/>
                <w:i w:val="false"/>
                <w:iCs w:val="false"/>
                <w:caps w:val="false"/>
                <w:color w:val="13294E"/>
                <w:sz w:val="20"/>
                <w:szCs w:val="20"/>
              </w:rPr>
              <w:t xml:space="preserve">single approved source</w:t>
            </w:r>
            <w:r>
              <w:rPr>
                <w:rFonts w:ascii="Calibri" w:cs="Calibri" w:eastAsia="Calibri" w:hAnsi="Calibri"/>
                <w:b w:val="false"/>
                <w:bCs w:val="false"/>
                <w:i w:val="false"/>
                <w:iCs w:val="false"/>
                <w:caps w:val="false"/>
                <w:color w:val="20303F"/>
                <w:sz w:val="20"/>
                <w:szCs w:val="20"/>
              </w:rPr>
              <w:t xml:space="preserve"> for everything Propel says about Shalom Park Estate — every advert, every post, every landing page, and every answer the AI assistant gives a buyer on WhatsApp or Instagram.</w:t>
            </w:r>
          </w:p>
          <w:p>
            <w:pPr>
              <w:spacing w:after="140" w:before="0"/>
              <w:jc w:val="left"/>
            </w:pPr>
            <w:r>
              <w:rPr>
                <w:rFonts w:ascii="Calibri" w:cs="Calibri" w:eastAsia="Calibri" w:hAnsi="Calibri"/>
                <w:b w:val="false"/>
                <w:bCs w:val="false"/>
                <w:i w:val="false"/>
                <w:iCs w:val="false"/>
                <w:caps w:val="false"/>
                <w:color w:val="20303F"/>
                <w:sz w:val="20"/>
                <w:szCs w:val="20"/>
              </w:rPr>
              <w:t xml:space="preserve">The assistant answers only from this sheet. It does not guess, estimate, or improvise — and that protects Shalom Park far more than it protects us.</w:t>
            </w:r>
          </w:p>
          <w:p>
            <w:pPr>
              <w:spacing w:after="0" w:before="0"/>
              <w:jc w:val="left"/>
            </w:pPr>
            <w:r>
              <w:rPr>
                <w:rFonts w:ascii="Calibri" w:cs="Calibri" w:eastAsia="Calibri" w:hAnsi="Calibri"/>
                <w:b/>
                <w:bCs/>
                <w:i w:val="false"/>
                <w:iCs w:val="false"/>
                <w:caps w:val="false"/>
                <w:color w:val="13294E"/>
                <w:sz w:val="20"/>
                <w:szCs w:val="20"/>
              </w:rPr>
              <w:t xml:space="preserve">Anything you leave blank is safe.</w:t>
            </w:r>
            <w:r>
              <w:rPr>
                <w:rFonts w:ascii="Calibri" w:cs="Calibri" w:eastAsia="Calibri" w:hAnsi="Calibri"/>
                <w:b w:val="false"/>
                <w:bCs w:val="false"/>
                <w:i w:val="false"/>
                <w:iCs w:val="false"/>
                <w:caps w:val="false"/>
                <w:color w:val="20303F"/>
                <w:sz w:val="20"/>
                <w:szCs w:val="20"/>
              </w:rPr>
              <w:t xml:space="preserve">  Where a field is empty, the assistant replies “Let me get you the exact figure from the team” and hands that buyer straight to a human. A blank costs you nothing. A wrong number costs you a buyer’s trust.</w:t>
            </w:r>
          </w:p>
        </w:tc>
      </w:tr>
    </w:tbl>
    <w:p>
      <w:pPr>
        <w:spacing w:after="120" w:before="360"/>
      </w:pPr>
      <w:r>
        <w:rPr>
          <w:rFonts w:ascii="Calibri" w:cs="Calibri" w:eastAsia="Calibri" w:hAnsi="Calibri"/>
          <w:b/>
          <w:bCs/>
          <w:i w:val="false"/>
          <w:iCs w:val="false"/>
          <w:caps w:val="false"/>
          <w:color w:val="081C3A"/>
          <w:sz w:val="24"/>
          <w:szCs w:val="24"/>
        </w:rPr>
        <w:t xml:space="preserve">How to complete it</w:t>
      </w:r>
    </w:p>
    <w:p>
      <w:pPr>
        <w:spacing w:after="80" w:before="0"/>
        <w:jc w:val="left"/>
      </w:pPr>
      <w:r>
        <w:rPr>
          <w:rFonts w:ascii="Calibri" w:cs="Calibri" w:eastAsia="Calibri" w:hAnsi="Calibri"/>
          <w:b/>
          <w:bCs/>
          <w:i w:val="false"/>
          <w:iCs w:val="false"/>
          <w:caps w:val="false"/>
          <w:color w:val="00A85A"/>
          <w:sz w:val="20"/>
          <w:szCs w:val="20"/>
        </w:rPr>
        <w:t xml:space="preserve">1.  </w:t>
      </w:r>
      <w:r>
        <w:rPr>
          <w:rFonts w:ascii="Calibri" w:cs="Calibri" w:eastAsia="Calibri" w:hAnsi="Calibri"/>
          <w:b w:val="false"/>
          <w:bCs w:val="false"/>
          <w:i w:val="false"/>
          <w:iCs w:val="false"/>
          <w:caps w:val="false"/>
          <w:color w:val="20303F"/>
          <w:sz w:val="20"/>
          <w:szCs w:val="20"/>
        </w:rPr>
        <w:t xml:space="preserve">Whoever knows the numbers best fills it in — usually your sales lead. About 15–20 minutes.</w:t>
      </w:r>
    </w:p>
    <w:p>
      <w:pPr>
        <w:spacing w:after="80" w:before="0"/>
        <w:jc w:val="left"/>
      </w:pPr>
      <w:r>
        <w:rPr>
          <w:rFonts w:ascii="Calibri" w:cs="Calibri" w:eastAsia="Calibri" w:hAnsi="Calibri"/>
          <w:b/>
          <w:bCs/>
          <w:i w:val="false"/>
          <w:iCs w:val="false"/>
          <w:caps w:val="false"/>
          <w:color w:val="00A85A"/>
          <w:sz w:val="20"/>
          <w:szCs w:val="20"/>
        </w:rPr>
        <w:t xml:space="preserve">2.  </w:t>
      </w:r>
      <w:r>
        <w:rPr>
          <w:rFonts w:ascii="Calibri" w:cs="Calibri" w:eastAsia="Calibri" w:hAnsi="Calibri"/>
          <w:b w:val="false"/>
          <w:bCs w:val="false"/>
          <w:i w:val="false"/>
          <w:iCs w:val="false"/>
          <w:caps w:val="false"/>
          <w:color w:val="20303F"/>
          <w:sz w:val="20"/>
          <w:szCs w:val="20"/>
        </w:rPr>
        <w:t xml:space="preserve">Skip anything you are not certain of, or that is still being decided.</w:t>
      </w:r>
    </w:p>
    <w:p>
      <w:pPr>
        <w:spacing w:after="80" w:before="0"/>
        <w:jc w:val="left"/>
      </w:pPr>
      <w:r>
        <w:rPr>
          <w:rFonts w:ascii="Calibri" w:cs="Calibri" w:eastAsia="Calibri" w:hAnsi="Calibri"/>
          <w:b/>
          <w:bCs/>
          <w:i w:val="false"/>
          <w:iCs w:val="false"/>
          <w:caps w:val="false"/>
          <w:color w:val="00A85A"/>
          <w:sz w:val="20"/>
          <w:szCs w:val="20"/>
        </w:rPr>
        <w:t xml:space="preserve">3.  </w:t>
      </w:r>
      <w:r>
        <w:rPr>
          <w:rFonts w:ascii="Calibri" w:cs="Calibri" w:eastAsia="Calibri" w:hAnsi="Calibri"/>
          <w:b w:val="false"/>
          <w:bCs w:val="false"/>
          <w:i w:val="false"/>
          <w:iCs w:val="false"/>
          <w:caps w:val="false"/>
          <w:color w:val="20303F"/>
          <w:sz w:val="20"/>
          <w:szCs w:val="20"/>
        </w:rPr>
        <w:t xml:space="preserve">Sign the final page and return it. Building of your knowledge base begins the same day.</w:t>
      </w:r>
    </w:p>
    <w:p>
      <w:pPr>
        <w:spacing w:after="300" w:before="0"/>
        <w:jc w:val="left"/>
      </w:pPr>
      <w:r>
        <w:rPr>
          <w:rFonts w:ascii="Calibri" w:cs="Calibri" w:eastAsia="Calibri" w:hAnsi="Calibri"/>
          <w:b/>
          <w:bCs/>
          <w:i w:val="false"/>
          <w:iCs w:val="false"/>
          <w:caps w:val="false"/>
          <w:color w:val="00A85A"/>
          <w:sz w:val="20"/>
          <w:szCs w:val="20"/>
        </w:rPr>
        <w:t xml:space="preserve">4.  </w:t>
      </w:r>
      <w:r>
        <w:rPr>
          <w:rFonts w:ascii="Calibri" w:cs="Calibri" w:eastAsia="Calibri" w:hAnsi="Calibri"/>
          <w:b w:val="false"/>
          <w:bCs w:val="false"/>
          <w:i w:val="false"/>
          <w:iCs w:val="false"/>
          <w:caps w:val="false"/>
          <w:color w:val="20303F"/>
          <w:sz w:val="20"/>
          <w:szCs w:val="20"/>
        </w:rPr>
        <w:t xml:space="preserve">Tell us whenever something changes — Section H covers how.</w:t>
      </w:r>
    </w:p>
    <w:p>
      <w:pPr>
        <w:spacing w:after="160" w:before="80"/>
      </w:pPr>
      <w:r>
        <w:rPr>
          <w:rFonts w:ascii="Calibri" w:cs="Calibri" w:eastAsia="Calibri" w:hAnsi="Calibri"/>
          <w:b w:val="false"/>
          <w:bCs w:val="false"/>
          <w:i/>
          <w:iCs/>
          <w:caps w:val="false"/>
          <w:color w:val="5A6472"/>
          <w:sz w:val="18"/>
          <w:szCs w:val="18"/>
        </w:rPr>
        <w:t xml:space="preserve">Some rows are pre-filled from Propel’s site visit on 26 July 2026. Please confirm or correct them — they are observations, not agreed facts, until you sign.</w:t>
      </w:r>
    </w:p>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A</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Who warrants these facts</w:t>
            </w:r>
          </w:p>
        </w:tc>
      </w:tr>
    </w:tbl>
    <w:p>
      <w:pPr>
        <w:spacing w:after="160" w:before="80"/>
      </w:pPr>
      <w:r>
        <w:rPr>
          <w:rFonts w:ascii="Calibri" w:cs="Calibri" w:eastAsia="Calibri" w:hAnsi="Calibri"/>
          <w:b w:val="false"/>
          <w:bCs w:val="false"/>
          <w:i/>
          <w:iCs/>
          <w:caps w:val="false"/>
          <w:color w:val="5A6472"/>
          <w:sz w:val="18"/>
          <w:szCs w:val="18"/>
        </w:rPr>
        <w:t xml:space="preserve">The person signing on behalf of the company.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Legal entity name (as on CAC certificate)</w:t>
            </w:r>
          </w:p>
        </w:tc>
        <w:tc>
          <w:tcPr>
            <w:tcW w:type="dxa" w:w="526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bCs/>
                <w:i w:val="false"/>
                <w:iCs w:val="false"/>
                <w:caps w:val="false"/>
                <w:color w:val="13294E"/>
                <w:sz w:val="19"/>
                <w:szCs w:val="19"/>
              </w:rPr>
              <w:t xml:space="preserve">IFT Realty Ltd</w:t>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RC number</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Registered address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Name of person warranting these facts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Role / position</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Direct phone number</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Email address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Sales lead the assistant hands qualified buyers to (name + number)</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pPr>
        <w:spacing w:after="0" w:before="400"/>
      </w:pPr>
      <w:r>
        <w:rPr>
          <w:rFonts w:ascii="Calibri" w:cs="Calibri" w:eastAsia="Calibri" w:hAnsi="Calibri"/>
          <w:b w:val="false"/>
          <w:bCs w:val="false"/>
          <w:i w:val="false"/>
          <w:iCs w:val="false"/>
          <w:caps w:val="false"/>
          <w:color w:val="20303F"/>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B</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The development</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Project name (exactly as marketed)</w:t>
            </w:r>
          </w:p>
        </w:tc>
        <w:tc>
          <w:tcPr>
            <w:tcW w:type="dxa" w:w="526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bCs/>
                <w:i w:val="false"/>
                <w:iCs w:val="false"/>
                <w:caps w:val="false"/>
                <w:color w:val="13294E"/>
                <w:sz w:val="19"/>
                <w:szCs w:val="19"/>
              </w:rPr>
              <w:t xml:space="preserve">Shalom Park Estate</w:t>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Full address / location description</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LGA and State</w:t>
            </w:r>
          </w:p>
        </w:tc>
        <w:tc>
          <w:tcPr>
            <w:tcW w:type="dxa" w:w="526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bCs/>
                <w:i w:val="false"/>
                <w:iCs w:val="false"/>
                <w:caps w:val="false"/>
                <w:color w:val="13294E"/>
                <w:sz w:val="19"/>
                <w:szCs w:val="19"/>
              </w:rPr>
              <w:t xml:space="preserve">Ibeju-Lekki, Lagos State</w:t>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Total land size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Total number of units and plots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Overall development stage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Estimated completion date (full estate)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C</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Title and approvals</w:t>
            </w:r>
          </w:p>
        </w:tc>
      </w:tr>
    </w:tbl>
    <w:p>
      <w:pPr>
        <w:spacing w:after="160" w:before="80"/>
      </w:pPr>
      <w:r>
        <w:rPr>
          <w:rFonts w:ascii="Calibri" w:cs="Calibri" w:eastAsia="Calibri" w:hAnsi="Calibri"/>
          <w:b w:val="false"/>
          <w:bCs w:val="false"/>
          <w:i/>
          <w:iCs/>
          <w:caps w:val="false"/>
          <w:color w:val="5A6472"/>
          <w:sz w:val="18"/>
          <w:szCs w:val="18"/>
        </w:rPr>
        <w:t xml:space="preserve">The section buyers care most about — and the one we will never improvise. Nothing here is published until Propel has sighted the corresponding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Title type (C of O / Governor’s Consent / Excision / Gazette / Deed — state exactly)</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Title document reference number</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Registered in whose name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Survey plan number</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Building / layout approval status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Approving authority</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Is any part of the land subject to litigation, government acquisition, or dispute? (Yes / No — a “No” here is a warranty)</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Which documents can Propel sight in original or certified copy?</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D</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Units, prices and availability</w:t>
            </w:r>
          </w:p>
        </w:tc>
      </w:tr>
    </w:tbl>
    <w:p>
      <w:pPr>
        <w:spacing w:after="160" w:before="80"/>
      </w:pPr>
      <w:r>
        <w:rPr>
          <w:rFonts w:ascii="Calibri" w:cs="Calibri" w:eastAsia="Calibri" w:hAnsi="Calibri"/>
          <w:b w:val="false"/>
          <w:bCs w:val="false"/>
          <w:i/>
          <w:iCs/>
          <w:caps w:val="false"/>
          <w:color w:val="5A6472"/>
          <w:sz w:val="18"/>
          <w:szCs w:val="18"/>
        </w:rPr>
        <w:t xml:space="preserve">Pre-filled from the site visit of 26 July 2026 — please confirm the counts and complete the rest. Add rows for anything missed.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754"/>
        <w:gridCol w:w="975"/>
        <w:gridCol w:w="1754"/>
        <w:gridCol w:w="1364"/>
        <w:gridCol w:w="975"/>
      </w:tblGrid>
      <w:tr>
        <w:trPr>
          <w:tblHeader/>
        </w:trPr>
        <w:tc>
          <w:tcPr>
            <w:tcW w:type="dxa" w:w="2924"/>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Unit type</w:t>
            </w:r>
          </w:p>
        </w:tc>
        <w:tc>
          <w:tcPr>
            <w:tcW w:type="dxa" w:w="1754"/>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Stage</w:t>
            </w:r>
          </w:p>
        </w:tc>
        <w:tc>
          <w:tcPr>
            <w:tcW w:type="dxa" w:w="975"/>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Units</w:t>
            </w:r>
          </w:p>
        </w:tc>
        <w:tc>
          <w:tcPr>
            <w:tcW w:type="dxa" w:w="1754"/>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Price (₦)</w:t>
            </w:r>
          </w:p>
        </w:tc>
        <w:tc>
          <w:tcPr>
            <w:tcW w:type="dxa" w:w="1364"/>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Price status</w:t>
            </w:r>
          </w:p>
        </w:tc>
        <w:tc>
          <w:tcPr>
            <w:tcW w:type="dxa" w:w="975"/>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Available</w:t>
            </w:r>
          </w:p>
        </w:tc>
      </w:tr>
      <w:tr>
        <w:tc>
          <w:tcPr>
            <w:tcW w:type="dxa" w:w="292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bCs/>
                <w:i w:val="false"/>
                <w:iCs w:val="false"/>
                <w:caps w:val="false"/>
                <w:color w:val="13294E"/>
                <w:sz w:val="18"/>
                <w:szCs w:val="18"/>
              </w:rPr>
              <w:t xml:space="preserve">4-bedroom semi-detached</w:t>
            </w:r>
          </w:p>
        </w:tc>
        <w:tc>
          <w:tcPr>
            <w:tcW w:type="dxa" w:w="175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Completed / developed</w:t>
            </w:r>
          </w:p>
        </w:tc>
        <w:tc>
          <w:tcPr>
            <w:tcW w:type="dxa" w:w="975"/>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3</w:t>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292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bCs/>
                <w:i w:val="false"/>
                <w:iCs w:val="false"/>
                <w:caps w:val="false"/>
                <w:color w:val="13294E"/>
                <w:sz w:val="18"/>
                <w:szCs w:val="18"/>
              </w:rPr>
              <w:t xml:space="preserve">2-bedroom condominium</w:t>
            </w:r>
          </w:p>
        </w:tc>
        <w:tc>
          <w:tcPr>
            <w:tcW w:type="dxa" w:w="175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Under development</w:t>
            </w:r>
          </w:p>
        </w:tc>
        <w:tc>
          <w:tcPr>
            <w:tcW w:type="dxa" w:w="975"/>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16</w:t>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292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bCs/>
                <w:i w:val="false"/>
                <w:iCs w:val="false"/>
                <w:caps w:val="false"/>
                <w:color w:val="13294E"/>
                <w:sz w:val="18"/>
                <w:szCs w:val="18"/>
              </w:rPr>
              <w:t xml:space="preserve">5-bedroom semi-detached</w:t>
            </w:r>
          </w:p>
        </w:tc>
        <w:tc>
          <w:tcPr>
            <w:tcW w:type="dxa" w:w="175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Off-plan</w:t>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292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bCs/>
                <w:i w:val="false"/>
                <w:iCs w:val="false"/>
                <w:caps w:val="false"/>
                <w:color w:val="13294E"/>
                <w:sz w:val="18"/>
                <w:szCs w:val="18"/>
              </w:rPr>
              <w:t xml:space="preserve">Serviced plots / bare land</w:t>
            </w:r>
          </w:p>
        </w:tc>
        <w:tc>
          <w:tcPr>
            <w:tcW w:type="dxa" w:w="1754"/>
            <w:tcBorders>
              <w:top w:val="single" w:color="D8DEE6" w:sz="4"/>
              <w:left w:val="single" w:color="D8DEE6" w:sz="4"/>
              <w:bottom w:val="single" w:color="D8DEE6" w:sz="4"/>
              <w:right w:val="single" w:color="D8DEE6" w:sz="4"/>
            </w:tcBorders>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13294E"/>
                <w:sz w:val="18"/>
                <w:szCs w:val="18"/>
              </w:rPr>
              <w:t xml:space="preserve">Bare land</w:t>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292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292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75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1364"/>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975"/>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bl>
    <w:p>
      <w:pPr>
        <w:spacing w:after="160" w:before="80"/>
      </w:pPr>
      <w:r>
        <w:rPr>
          <w:rFonts w:ascii="Calibri" w:cs="Calibri" w:eastAsia="Calibri" w:hAnsi="Calibri"/>
          <w:b w:val="false"/>
          <w:bCs w:val="false"/>
          <w:i/>
          <w:iCs/>
          <w:caps w:val="false"/>
          <w:color w:val="5A6472"/>
          <w:sz w:val="18"/>
          <w:szCs w:val="18"/>
        </w:rPr>
        <w:t xml:space="preserve">Price status: is the figure current, promotional, or subject to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What is INCLUDED in the quoted price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What is EXCLUDED (legal, agency, survey, development levy, infrastructure — state amounts or %)</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Are prices negotiable? By how much, and who may authorise a discount?</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E</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Payment</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Initial deposit required (₦ or %)</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Payment plan options and durations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Interest or price escalation on instalments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Refund policy if a buyer withdraws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Official payment account name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pPr>
        <w:spacing w:after="60" w:before="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81C3A" w:sz="18"/>
              <w:bottom w:val="none" w:color="FFFFFF" w:sz="0"/>
              <w:right w:val="none" w:color="FFFFFF" w:sz="0"/>
            </w:tcBorders>
            <w:shd w:fill="F4F7FA" w:color="auto" w:val="clear"/>
            <w:tcMar>
              <w:top w:type="dxa" w:w="160"/>
              <w:left w:type="dxa" w:w="180"/>
              <w:bottom w:type="dxa" w:w="160"/>
              <w:right w:type="dxa" w:w="180"/>
            </w:tcMar>
          </w:tcPr>
          <w:p>
            <w:pPr>
              <w:spacing w:after="0" w:before="0"/>
              <w:jc w:val="left"/>
            </w:pPr>
            <w:r>
              <w:rPr>
                <w:rFonts w:ascii="Calibri" w:cs="Calibri" w:eastAsia="Calibri" w:hAnsi="Calibri"/>
                <w:b/>
                <w:bCs/>
                <w:i w:val="false"/>
                <w:iCs w:val="false"/>
                <w:caps w:val="false"/>
                <w:color w:val="13294E"/>
                <w:sz w:val="20"/>
                <w:szCs w:val="20"/>
              </w:rPr>
              <w:t xml:space="preserve">The assistant will never state bank account numbers in chat.</w:t>
            </w:r>
            <w:r>
              <w:rPr>
                <w:rFonts w:ascii="Calibri" w:cs="Calibri" w:eastAsia="Calibri" w:hAnsi="Calibri"/>
                <w:b w:val="false"/>
                <w:bCs w:val="false"/>
                <w:i w:val="false"/>
                <w:iCs w:val="false"/>
                <w:caps w:val="false"/>
                <w:color w:val="20303F"/>
                <w:sz w:val="20"/>
                <w:szCs w:val="20"/>
              </w:rPr>
              <w:t xml:space="preserve">  Every buyer ready to pay is handed to a human on your team. This is deliberate — it is how we keep impersonation fraud away from your buyers.</w:t>
            </w:r>
          </w:p>
        </w:tc>
      </w:tr>
    </w:tbl>
    <w:p>
      <w:pPr>
        <w:spacing w:after="0" w:before="400"/>
      </w:pPr>
      <w:r>
        <w:rPr>
          <w:rFonts w:ascii="Calibri" w:cs="Calibri" w:eastAsia="Calibri" w:hAnsi="Calibri"/>
          <w:b w:val="false"/>
          <w:bCs w:val="false"/>
          <w:i w:val="false"/>
          <w:iCs w:val="false"/>
          <w:caps w:val="false"/>
          <w:color w:val="20303F"/>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F</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Delivery and the buyer experience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Allocation process and timing</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What documents does a buyer receive, and when?</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Handover / possession timeline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Infrastructure and amenities ALREADY delivered</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Amenities PLANNED, and their target dates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Building restrictions / estate rules buyers must accept</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Inspection days, times and process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Can inspections be done virtually? How?</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G</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Things the assistant must NOT say</w:t>
            </w:r>
          </w:p>
        </w:tc>
      </w:tr>
    </w:tbl>
    <w:p>
      <w:pPr>
        <w:spacing w:after="160" w:before="80"/>
      </w:pPr>
      <w:r>
        <w:rPr>
          <w:rFonts w:ascii="Calibri" w:cs="Calibri" w:eastAsia="Calibri" w:hAnsi="Calibri"/>
          <w:b w:val="false"/>
          <w:bCs w:val="false"/>
          <w:i/>
          <w:iCs/>
          <w:caps w:val="false"/>
          <w:color w:val="5A6472"/>
          <w:sz w:val="18"/>
          <w:szCs w:val="18"/>
        </w:rPr>
        <w:t xml:space="preserve">List anything you would rather was never said to a buyer, and we will honour it absolutely. Common examples: rental yield projections, resale value estimates, comparisons with other estates, timelines that are not contractually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Do not say / discuss</w:t>
            </w:r>
          </w:p>
        </w:tc>
        <w:tc>
          <w:tcPr>
            <w:tcW w:type="dxa" w:w="4873"/>
            <w:tcBorders>
              <w:top w:val="single" w:color="D8DEE6" w:sz="4"/>
              <w:left w:val="single" w:color="D8DEE6" w:sz="4"/>
              <w:bottom w:val="single" w:color="D8DEE6" w:sz="4"/>
              <w:right w:val="single" w:color="D8DEE6" w:sz="4"/>
            </w:tcBorders>
            <w:shd w:fill="13294E" w:color="auto" w:val="clear"/>
            <w:tcMar>
              <w:top w:type="dxa" w:w="80"/>
              <w:left w:type="dxa" w:w="110"/>
              <w:bottom w:type="dxa" w:w="80"/>
              <w:right w:type="dxa" w:w="110"/>
            </w:tcMar>
          </w:tcPr>
          <w:p>
            <w:pPr>
              <w:spacing w:after="0" w:before="0"/>
            </w:pPr>
            <w:r>
              <w:rPr>
                <w:rFonts w:ascii="Calibri" w:cs="Calibri" w:eastAsia="Calibri" w:hAnsi="Calibri"/>
                <w:b/>
                <w:bCs/>
                <w:i w:val="false"/>
                <w:iCs w:val="false"/>
                <w:caps w:val="false"/>
                <w:color w:val="FFFFFF"/>
                <w:sz w:val="18"/>
                <w:szCs w:val="18"/>
              </w:rPr>
              <w:t xml:space="preserve">What the assistant should do instead</w:t>
            </w:r>
          </w:p>
        </w:tc>
      </w:tr>
      <w:tr>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r>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c>
          <w:tcPr>
            <w:tcW w:type="dxa" w:w="4873"/>
            <w:tcBorders>
              <w:top w:val="single" w:color="D8DEE6" w:sz="4"/>
              <w:left w:val="single" w:color="D8DEE6" w:sz="4"/>
              <w:bottom w:val="single" w:color="D8DEE6" w:sz="4"/>
              <w:right w:val="single" w:color="D8DEE6" w:sz="4"/>
            </w:tcBorders>
            <w:shd w:fill="F4F7FA" w:color="auto" w:val="clear"/>
            <w:tcMar>
              <w:top w:type="dxa" w:w="100"/>
              <w:left w:type="dxa" w:w="110"/>
              <w:bottom w:type="dxa" w:w="100"/>
              <w:right w:type="dxa" w:w="110"/>
            </w:tcMar>
            <w:vAlign w:val="center"/>
          </w:tcPr>
          <w:p>
            <w:pPr>
              <w:spacing w:after="0" w:before="0"/>
            </w:pPr>
            <w:r>
              <w:rPr>
                <w:rFonts w:ascii="Calibri" w:cs="Calibri" w:eastAsia="Calibri" w:hAnsi="Calibri"/>
                <w:b w:val="false"/>
                <w:bCs w:val="false"/>
                <w:i w:val="false"/>
                <w:iCs w:val="false"/>
                <w:caps w:val="false"/>
                <w:color w:val="20303F"/>
                <w:sz w:val="18"/>
                <w:szCs w:val="18"/>
              </w:rPr>
              <w:t xml:space="preserve"/>
            </w:r>
          </w:p>
        </w:tc>
      </w:tr>
    </w:tbl>
    <w:p>
      <w:pPr>
        <w:spacing w:after="0" w:before="240"/>
      </w:pPr>
      <w:r>
        <w:rPr>
          <w:rFonts w:ascii="Calibri" w:cs="Calibri" w:eastAsia="Calibri" w:hAnsi="Calibri"/>
          <w:b w:val="false"/>
          <w:bCs w:val="false"/>
          <w:i w:val="false"/>
          <w:iCs w:val="false"/>
          <w:caps w:val="false"/>
          <w:color w:val="20303F"/>
          <w:sz w:val="20"/>
          <w:szCs w:val="20"/>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0A85A" w:sz="18"/>
              <w:bottom w:val="none" w:color="FFFFFF" w:sz="0"/>
              <w:right w:val="none" w:color="FFFFFF" w:sz="0"/>
            </w:tcBorders>
            <w:shd w:fill="F4F7FA" w:color="auto" w:val="clear"/>
            <w:tcMar>
              <w:top w:type="dxa" w:w="160"/>
              <w:left w:type="dxa" w:w="180"/>
              <w:bottom w:type="dxa" w:w="160"/>
              <w:right w:type="dxa" w:w="180"/>
            </w:tcMar>
          </w:tcPr>
          <w:p>
            <w:pPr>
              <w:spacing w:after="100" w:before="0"/>
              <w:jc w:val="left"/>
            </w:pPr>
            <w:r>
              <w:rPr>
                <w:rFonts w:ascii="Calibri" w:cs="Calibri" w:eastAsia="Calibri" w:hAnsi="Calibri"/>
                <w:b/>
                <w:bCs/>
                <w:i w:val="false"/>
                <w:iCs w:val="false"/>
                <w:caps w:val="false"/>
                <w:color w:val="13294E"/>
                <w:sz w:val="20"/>
                <w:szCs w:val="20"/>
              </w:rPr>
              <w:t xml:space="preserve">Propel’s own standing rule, regardless of the above:</w:t>
            </w:r>
          </w:p>
          <w:p>
            <w:pPr>
              <w:spacing w:after="0" w:before="0"/>
              <w:jc w:val="left"/>
            </w:pPr>
            <w:r>
              <w:rPr>
                <w:rFonts w:ascii="Calibri" w:cs="Calibri" w:eastAsia="Calibri" w:hAnsi="Calibri"/>
                <w:b w:val="false"/>
                <w:bCs w:val="false"/>
                <w:i w:val="false"/>
                <w:iCs w:val="false"/>
                <w:caps w:val="false"/>
                <w:color w:val="20303F"/>
                <w:sz w:val="20"/>
                <w:szCs w:val="20"/>
              </w:rPr>
              <w:t xml:space="preserve">We will not publish, and the assistant will not state, investment-return projections, guaranteed appreciation, or artificial scarcity (“only 2 left!”) — unless the scarcity is factually true on the date stated and re-verified weekly. We would rather lose a sale than mislead a buyer in your name.</w:t>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H</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Keeping it true</w:t>
            </w:r>
          </w:p>
        </w:tc>
      </w:tr>
    </w:tbl>
    <w:p>
      <w:pPr>
        <w:spacing w:after="160" w:before="80"/>
      </w:pPr>
      <w:r>
        <w:rPr>
          <w:rFonts w:ascii="Calibri" w:cs="Calibri" w:eastAsia="Calibri" w:hAnsi="Calibri"/>
          <w:b w:val="false"/>
          <w:bCs w:val="false"/>
          <w:i/>
          <w:iCs/>
          <w:caps w:val="false"/>
          <w:color w:val="5A6472"/>
          <w:sz w:val="18"/>
          <w:szCs w:val="18"/>
        </w:rPr>
        <w:t xml:space="preserve">Prices move, units sell, approvals land. An assistant quoting last month’s price to this month’s buyer is the single biggest risk in any automated system — so we close it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Who notifies Propel when any fact in this sheet changes?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Agreed notification method (WhatsApp group / email)</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Maximum delay between a change and notifying us</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Frequency of scheduled fact reviews (we recommend monthly, plus immediately on any price change)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pPr>
        <w:spacing w:after="0" w:before="240"/>
      </w:pPr>
      <w:r>
        <w:rPr>
          <w:rFonts w:ascii="Calibri" w:cs="Calibri" w:eastAsia="Calibri" w:hAnsi="Calibri"/>
          <w:b w:val="false"/>
          <w:bCs w:val="false"/>
          <w:i w:val="false"/>
          <w:iCs w:val="false"/>
          <w:caps w:val="false"/>
          <w:color w:val="20303F"/>
          <w:sz w:val="20"/>
          <w:szCs w:val="20"/>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0A85A" w:sz="18"/>
              <w:bottom w:val="none" w:color="FFFFFF" w:sz="0"/>
              <w:right w:val="none" w:color="FFFFFF" w:sz="0"/>
            </w:tcBorders>
            <w:shd w:fill="F4F7FA" w:color="auto" w:val="clear"/>
            <w:tcMar>
              <w:top w:type="dxa" w:w="160"/>
              <w:left w:type="dxa" w:w="180"/>
              <w:bottom w:type="dxa" w:w="160"/>
              <w:right w:type="dxa" w:w="180"/>
            </w:tcMar>
          </w:tcPr>
          <w:p>
            <w:pPr>
              <w:spacing w:after="0" w:before="0"/>
              <w:jc w:val="left"/>
            </w:pPr>
            <w:r>
              <w:rPr>
                <w:rFonts w:ascii="Calibri" w:cs="Calibri" w:eastAsia="Calibri" w:hAnsi="Calibri"/>
                <w:b/>
                <w:bCs/>
                <w:i w:val="false"/>
                <w:iCs w:val="false"/>
                <w:caps w:val="false"/>
                <w:color w:val="13294E"/>
                <w:sz w:val="20"/>
                <w:szCs w:val="20"/>
              </w:rPr>
              <w:t xml:space="preserve">Until Propel is notified, the assistant answers from this sheet.</w:t>
            </w:r>
            <w:r>
              <w:rPr>
                <w:rFonts w:ascii="Calibri" w:cs="Calibri" w:eastAsia="Calibri" w:hAnsi="Calibri"/>
                <w:b w:val="false"/>
                <w:bCs w:val="false"/>
                <w:i w:val="false"/>
                <w:iCs w:val="false"/>
                <w:caps w:val="false"/>
                <w:color w:val="20303F"/>
                <w:sz w:val="20"/>
                <w:szCs w:val="20"/>
              </w:rPr>
              <w:t xml:space="preserve">  If a fact changes and we are not told, the outdated answer is not Propel’s liability. This is the clause that makes automation safe for both of us.</w:t>
            </w:r>
          </w:p>
        </w:tc>
      </w:tr>
    </w:tbl>
    <w:p>
      <w:r>
        <w:br w:type="pag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81C3A" w:color="auto" w:val="clear"/>
            <w:tcMar>
              <w:top w:type="dxa" w:w="90"/>
              <w:left w:type="dxa" w:w="140"/>
              <w:bottom w:type="dxa" w:w="90"/>
              <w:right w:type="dxa" w:w="140"/>
            </w:tcMar>
          </w:tcPr>
          <w:p>
            <w:pPr>
              <w:spacing w:after="0" w:before="0"/>
            </w:pPr>
            <w:r>
              <w:rPr>
                <w:rFonts w:ascii="Calibri" w:cs="Calibri" w:eastAsia="Calibri" w:hAnsi="Calibri"/>
                <w:b/>
                <w:bCs/>
                <w:i w:val="false"/>
                <w:iCs w:val="false"/>
                <w:caps w:val="false"/>
                <w:color w:val="00E57A"/>
                <w:sz w:val="18"/>
                <w:szCs w:val="18"/>
              </w:rPr>
              <w:t xml:space="preserve">SECTION ✓</w:t>
            </w:r>
            <w:r>
              <w:rPr>
                <w:rFonts w:ascii="Calibri" w:cs="Calibri" w:eastAsia="Calibri" w:hAnsi="Calibri"/>
                <w:b w:val="false"/>
                <w:bCs w:val="false"/>
                <w:i w:val="false"/>
                <w:iCs w:val="false"/>
                <w:caps w:val="false"/>
                <w:color w:val="20303F"/>
                <w:sz w:val="18"/>
                <w:szCs w:val="18"/>
              </w:rPr>
              <w:t xml:space="preserve">   </w:t>
            </w:r>
            <w:r>
              <w:rPr>
                <w:rFonts w:ascii="Calibri" w:cs="Calibri" w:eastAsia="Calibri" w:hAnsi="Calibri"/>
                <w:b/>
                <w:bCs/>
                <w:i w:val="false"/>
                <w:iCs w:val="false"/>
                <w:caps w:val="false"/>
                <w:color w:val="FFFFFF"/>
                <w:sz w:val="22"/>
                <w:szCs w:val="22"/>
              </w:rPr>
              <w:t xml:space="preserve">Warranty and signature</w:t>
            </w:r>
          </w:p>
        </w:tc>
      </w:tr>
    </w:tbl>
    <w:p>
      <w:pPr>
        <w:spacing w:after="160" w:before="240"/>
      </w:pPr>
      <w:r>
        <w:rPr>
          <w:rFonts w:ascii="Calibri" w:cs="Calibri" w:eastAsia="Calibri" w:hAnsi="Calibri"/>
          <w:b w:val="false"/>
          <w:bCs w:val="false"/>
          <w:i w:val="false"/>
          <w:iCs w:val="false"/>
          <w:caps w:val="false"/>
          <w:color w:val="20303F"/>
          <w:sz w:val="20"/>
          <w:szCs w:val="20"/>
        </w:rPr>
        <w:t xml:space="preserve">The undersigned, on behalf of the company named in Section A, warrants that every fact stated in this document is true, accurate and complete as at the date of signature; that the company has the right to market and sell the units described; and that no litigation, acquisition or dispute affects the land other than as disclosed in Section C.</w:t>
      </w:r>
    </w:p>
    <w:p>
      <w:pPr>
        <w:spacing w:after="320" w:before="0"/>
      </w:pPr>
      <w:r>
        <w:rPr>
          <w:rFonts w:ascii="Calibri" w:cs="Calibri" w:eastAsia="Calibri" w:hAnsi="Calibri"/>
          <w:b w:val="false"/>
          <w:bCs w:val="false"/>
          <w:i w:val="false"/>
          <w:iCs w:val="false"/>
          <w:caps w:val="false"/>
          <w:color w:val="20303F"/>
          <w:sz w:val="20"/>
          <w:szCs w:val="20"/>
        </w:rPr>
        <w:t xml:space="preserve">The company authorises Propel to publish these facts in marketing materials and to use them as the knowledge base for automated buyer conversations, and undertakes to notify Propel of any change in accordance with Section 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Signature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Full name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Role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Date</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r>
        <w:tc>
          <w:tcPr>
            <w:tcW w:type="dxa" w:w="4483"/>
            <w:tcBorders>
              <w:top w:val="single" w:color="D8DEE6" w:sz="4"/>
              <w:left w:val="single" w:color="D8DEE6" w:sz="4"/>
              <w:bottom w:val="single" w:color="D8DEE6" w:sz="4"/>
              <w:right w:val="single" w:color="D8DEE6" w:sz="4"/>
            </w:tcBorders>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19"/>
                <w:szCs w:val="19"/>
              </w:rPr>
              <w:t xml:space="preserve">Company stamp</w:t>
            </w:r>
          </w:p>
        </w:tc>
        <w:tc>
          <w:tcPr>
            <w:tcW w:type="dxa" w:w="5263"/>
            <w:tcBorders>
              <w:top w:val="single" w:color="D8DEE6" w:sz="4"/>
              <w:left w:val="single" w:color="D8DEE6" w:sz="4"/>
              <w:bottom w:val="single" w:color="D8DEE6" w:sz="4"/>
              <w:right w:val="single" w:color="D8DEE6" w:sz="4"/>
            </w:tcBorders>
            <w:shd w:fill="F4F7FA" w:color="auto" w:val="clear"/>
            <w:tcMar>
              <w:top w:type="dxa" w:w="80"/>
              <w:left w:type="dxa" w:w="120"/>
              <w:bottom w:type="dxa" w:w="80"/>
              <w:right w:type="dxa" w:w="120"/>
            </w:tcMar>
            <w:vAlign w:val="center"/>
          </w:tcPr>
          <w:p>
            <w:pPr>
              <w:spacing w:after="0" w:before="0"/>
            </w:pPr>
            <w:r>
              <w:rPr>
                <w:rFonts w:ascii="Calibri" w:cs="Calibri" w:eastAsia="Calibri" w:hAnsi="Calibri"/>
                <w:b w:val="false"/>
                <w:bCs w:val="false"/>
                <w:i w:val="false"/>
                <w:iCs w:val="false"/>
                <w:caps w:val="false"/>
                <w:color w:val="20303F"/>
                <w:sz w:val="20"/>
                <w:szCs w:val="20"/>
              </w:rPr>
              <w:t xml:space="preserve"/>
            </w:r>
          </w:p>
        </w:tc>
      </w:tr>
    </w:tbl>
    <w:p>
      <w:pPr>
        <w:pBdr>
          <w:top w:val="single" w:color="D8DEE6" w:sz="8"/>
        </w:pBdr>
        <w:spacing w:after="60" w:before="480"/>
      </w:pPr>
      <w:r>
        <w:rPr>
          <w:rFonts w:ascii="Calibri" w:cs="Calibri" w:eastAsia="Calibri" w:hAnsi="Calibri"/>
          <w:b w:val="false"/>
          <w:bCs w:val="false"/>
          <w:i w:val="false"/>
          <w:iCs w:val="false"/>
          <w:caps w:val="false"/>
          <w:color w:val="20303F"/>
          <w:sz w:val="20"/>
          <w:szCs w:val="20"/>
        </w:rPr>
        <w:t xml:space="preserve"/>
      </w:r>
    </w:p>
    <w:p>
      <w:pPr>
        <w:spacing w:after="0" w:before="100"/>
        <w:jc w:val="center"/>
      </w:pPr>
      <w:r>
        <w:rPr>
          <w:rFonts w:ascii="Calibri" w:cs="Calibri" w:eastAsia="Calibri" w:hAnsi="Calibri"/>
          <w:b/>
          <w:bCs/>
          <w:i w:val="false"/>
          <w:iCs w:val="false"/>
          <w:caps w:val="false"/>
          <w:color w:val="081C3A"/>
          <w:sz w:val="20"/>
          <w:szCs w:val="20"/>
        </w:rPr>
        <w:t xml:space="preserve">PROPEL</w:t>
      </w:r>
      <w:r>
        <w:rPr>
          <w:rFonts w:ascii="Calibri" w:cs="Calibri" w:eastAsia="Calibri" w:hAnsi="Calibri"/>
          <w:b w:val="false"/>
          <w:bCs w:val="false"/>
          <w:i w:val="false"/>
          <w:iCs w:val="false"/>
          <w:caps w:val="false"/>
          <w:color w:val="5A6472"/>
          <w:sz w:val="18"/>
          <w:szCs w:val="18"/>
        </w:rPr>
        <w:t xml:space="preserve">  ·  We move property.  ·  WhatsApp +234 901 912 0968  ·  Instagram @getpropel.ng</w:t>
      </w:r>
    </w:p>
    <w:p>
      <w:pPr>
        <w:spacing w:after="0" w:before="60"/>
        <w:jc w:val="center"/>
      </w:pPr>
      <w:r>
        <w:rPr>
          <w:rFonts w:ascii="Calibri" w:cs="Calibri" w:eastAsia="Calibri" w:hAnsi="Calibri"/>
          <w:b w:val="false"/>
          <w:bCs w:val="false"/>
          <w:i/>
          <w:iCs/>
          <w:caps w:val="false"/>
          <w:color w:val="5A6472"/>
          <w:sz w:val="16"/>
          <w:szCs w:val="16"/>
        </w:rPr>
        <w:t xml:space="preserve">Prepared for IFT Realty Ltd · July 2026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Shalom Park Estate — Property Facts Sheet</dc:title>
  <dc:creator>Propel</dc:creator>
  <dc:description>Warranted facts sheet: the approved source for all marketing and AI assistant answers.</dc:description>
  <cp:lastModifiedBy>Un-named</cp:lastModifiedBy>
  <cp:revision>1</cp:revision>
  <dcterms:created xsi:type="dcterms:W3CDTF">2026-07-27T10:46:45.224Z</dcterms:created>
  <dcterms:modified xsi:type="dcterms:W3CDTF">2026-07-27T10:46:45.225Z</dcterms:modified>
</cp:coreProperties>
</file>

<file path=docProps/custom.xml><?xml version="1.0" encoding="utf-8"?>
<Properties xmlns="http://schemas.openxmlformats.org/officeDocument/2006/custom-properties" xmlns:vt="http://schemas.openxmlformats.org/officeDocument/2006/docPropsVTypes"/>
</file>