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Metamaterial Crack Propagation and Analysis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Abstract</w:t>
      </w:r>
    </w:p>
    <w:p w:rsidR="00000000" w:rsidDel="00000000" w:rsidP="00000000" w:rsidRDefault="00000000" w:rsidRPr="00000000" w14:paraId="00000004">
      <w:pPr>
        <w:rPr/>
      </w:pPr>
      <w:r w:rsidDel="00000000" w:rsidR="00000000" w:rsidRPr="00000000">
        <w:rPr>
          <w:rtl w:val="0"/>
        </w:rPr>
        <w:t xml:space="preserve">Architected (metamaterial) microstructures lattices, TPMS, and nano architected frameworks can offer step change enhancements in target stiffness, strength, and energy absorption, but mission critical deployment is prevented by crack initiation, crack growth kinetics, and arrest behavior under representative service spectra (multiaxial fatigue, impacts, thermal excursions). We propose a data driven + mechanics methodology to quantify and predict fracture response in two high impact systems: (1) aerospace weight savings (lattice core sandwich panels, brackets, additively manufactured hot section components), and (2) implants (porous Ti 6Al 4V orthopedic devices, endovascular lattices). The investigation will integrate controlled microstructural descriptors (relative density ρ, unit cell topology, strut aspect ratio, surface roughness Ra) with fracture metrics (K, J, da/dN–ΔK, KIa/Ka, R-curves, size effect) and application level operating envelopes. Real world quantities impose urgency: additively manufactured GE LEAP fuel nozzle tips eliminate part number from ~20 to 1 and weight by ~25% validation of weight critical value in flight hardware; flight operations alone are optimized by ~75–140 kg fuel per descent per aircraft with Airbus DPO, emphasizing the benefit of crack reliable, reduced mass structures; porous lattice orthopedic implants with 400–600 µm pores and 75–85% porosity promote osseointegration but move failure modes to strut fatigue and microcrack coalescence; previous femoropopliteal nitinol stent fracture rates reached 13–52% depending on stented length, illustrating the dangers of lattice integrity in vivo. Our findings will be cross checked with coupon testing and application representative subcomponents, offering calibrated fracture models and design guidelines spanning the gap between field reliability and materials architecture.</w:t>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1) Background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Metamaterials acquire bulk behavior from geometry to the same extent as from underlying material. Octet-truss, iso-truss, and TPMS architectures have been found with order of magnitude enhancement of specific strength and defect tolerance as feature sizes decrease to the sub-micron regime; e.g., nano architected pyrolytic carbon lattices (unit cell ~2 µm; beam Ø 0.26–0.68 µm; ρ = 0.24–1.0 g cm</w:t>
      </w:r>
      <w:r w:rsidDel="00000000" w:rsidR="00000000" w:rsidRPr="00000000">
        <w:rPr>
          <w:rFonts w:ascii="Cambria Math" w:cs="Cambria Math" w:eastAsia="Cambria Math" w:hAnsi="Cambria Math"/>
          <w:rtl w:val="0"/>
        </w:rPr>
        <w:t xml:space="preserve">⁻</w:t>
      </w:r>
      <w:r w:rsidDel="00000000" w:rsidR="00000000" w:rsidRPr="00000000">
        <w:rPr>
          <w:rFonts w:ascii="Aptos" w:cs="Aptos" w:eastAsia="Aptos" w:hAnsi="Aptos"/>
          <w:rtl w:val="0"/>
        </w:rPr>
        <w:t xml:space="preserve">³</w:t>
      </w:r>
      <w:r w:rsidDel="00000000" w:rsidR="00000000" w:rsidRPr="00000000">
        <w:rPr>
          <w:rtl w:val="0"/>
        </w:rPr>
        <w:t xml:space="preserve">) achieved record specific strength and flaw insensitivity by topology + size effects. These advances hold out promises of new opportunities and new fissure risk when scaling up to full parts with AM surface roughness, notch like fillets, and multiaxial loading.</w:t>
      </w:r>
    </w:p>
    <w:p w:rsidR="00000000" w:rsidDel="00000000" w:rsidP="00000000" w:rsidRDefault="00000000" w:rsidRPr="00000000" w14:paraId="00000009">
      <w:pPr>
        <w:rPr/>
      </w:pPr>
      <w:r w:rsidDel="00000000" w:rsidR="00000000" w:rsidRPr="00000000">
        <w:rPr>
          <w:b w:val="1"/>
          <w:rtl w:val="0"/>
        </w:rPr>
        <w:t xml:space="preserve">Aerospace context.</w:t>
      </w:r>
      <w:r w:rsidDel="00000000" w:rsidR="00000000" w:rsidRPr="00000000">
        <w:rPr>
          <w:rtl w:val="0"/>
        </w:rPr>
        <w:t xml:space="preserve"> Weight is a first order driver of fuel consumption and emissions. Aside from operational efficiencies (e.g., Airbus Descent Profile Optimization saving ~75 kg of fuel per A320 descent; ~140 t per year per airplane), weight reduction through architected cores and AM consolidation (e.g., GE LEAP fuel nozzle, ~25% lighter, single piece) multiplies saving across hundreds of thousands of flights. To safely capitalize, lattice cores must be impact resistant, fatigue resistant, and delamination mediated crack growth resistant. Comparative analyses register +246% specific energy absorption in optimum lattice cores versus baselines that relies on preventing core to face crack migration and brittle strut failure.</w:t>
      </w:r>
    </w:p>
    <w:p w:rsidR="00000000" w:rsidDel="00000000" w:rsidP="00000000" w:rsidRDefault="00000000" w:rsidRPr="00000000" w14:paraId="0000000A">
      <w:pPr>
        <w:rPr/>
      </w:pPr>
      <w:r w:rsidDel="00000000" w:rsidR="00000000" w:rsidRPr="00000000">
        <w:rPr>
          <w:rtl w:val="0"/>
        </w:rPr>
        <w:t xml:space="preserve">Medical application. Bone mimetic porous Ti lattices decrease implant modulus (≈3–30 GPa range typical) and promote osseointegration at 400–600 µm pores, 75–85% porosity; bone ingrowth attains ~80% pore occupancy by 1 year clinically superb, but identical architecture concentrates stresses at nodes and AM surface valleys, pushing failure toward microcrack controlled fatigue. In endovascular devices (also designed lattices), the legacy femoropopliteal nitinol stent fracture rates were ~24.5% per stent (with limb level rates ~17%) and extended to 13–52% with longer construct length; lower rates are seen in more recent device generations, but the signal of fracture risk persists.</w:t>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2) Significance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Why aerospace?</w:t>
      </w:r>
      <w:r w:rsidDel="00000000" w:rsidR="00000000" w:rsidRPr="00000000">
        <w:rPr>
          <w:rtl w:val="0"/>
        </w:rPr>
        <w:t xml:space="preserve"> Even modest weight reductions in airframes and engines add up over fleets and decades. Demonstrated AM consolidation (e.g., LEAP nozzle ~25% lighter; 30k–100k units shipped) establishes industry scale potential; operating enhancements like DPO save ~140 t fuel/yr per airplane, so combining those with fracture reliable lattice structures leverages both operating and structural levers. Our work addresses the key bottleneck fracture reliability by quantifying: (i) topology dependent crack paths (ligament shearing vs. node failure), (ii) R-curve response v. relative density, and (iii) impact/fatigue resistance (e.g., lattice core panels in which topologically optimized structures recorded +246% specific energy absorption). Outputs experimentally validated crack growth models and design allowable directly de risk flight hardware take up and enable routes to certification.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Why medical?</w:t>
      </w:r>
      <w:r w:rsidDel="00000000" w:rsidR="00000000" w:rsidRPr="00000000">
        <w:rPr>
          <w:rtl w:val="0"/>
        </w:rPr>
        <w:t xml:space="preserve"> Stress shielding reducing porous lattices accelerate osseointegration (pore 400–600 µm, porosity 75–85%, months long bone fill), but patient safety hinges on preventing microcrack nucleation at AM created surface flaws and architectural hotspots. Such double digit fracture rates from archival nitinol lattice (stent) datasets bear witness to systemic consequences when lattice fracture is under controlled; our microstructure sensitive fracture maps (ΔK-eff vs. ρ, node radius, roughness) and fatigue life predictions will directly translate into safer implants and longer device patency.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Field impact</w:t>
      </w:r>
      <w:r w:rsidDel="00000000" w:rsidR="00000000" w:rsidRPr="00000000">
        <w:rPr>
          <w:rtl w:val="0"/>
        </w:rPr>
        <w:t xml:space="preserve">. This program pushes your foundation vision ranging from "can we predict crack arrest?" to "can we design lattices to guide, blunt, and arrest cracks intentionally?" with multimodal data and ML tightly coupled with mechanics (K-field calibration, topology optimized R-curves, and size effect scaling). It addresses industry requirements with specific, quantified values, enabling weight and performance reduction in aerospace and better patient outcomes in medicine.</w:t>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Sources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hyperlink r:id="rId7">
        <w:r w:rsidDel="00000000" w:rsidR="00000000" w:rsidRPr="00000000">
          <w:rPr>
            <w:color w:val="467886"/>
            <w:u w:val="single"/>
            <w:rtl w:val="0"/>
          </w:rPr>
          <w:t xml:space="preserve">https://authors.library.caltech.edu/records/2q6yr-aag28?utm_source=chatgpt.com</w:t>
        </w:r>
      </w:hyperlink>
      <w:r w:rsidDel="00000000" w:rsidR="00000000" w:rsidRPr="00000000">
        <w:rPr>
          <w:rtl w:val="0"/>
        </w:rPr>
      </w:r>
    </w:p>
    <w:p w:rsidR="00000000" w:rsidDel="00000000" w:rsidP="00000000" w:rsidRDefault="00000000" w:rsidRPr="00000000" w14:paraId="00000017">
      <w:pPr>
        <w:rPr/>
      </w:pPr>
      <w:hyperlink r:id="rId8">
        <w:r w:rsidDel="00000000" w:rsidR="00000000" w:rsidRPr="00000000">
          <w:rPr>
            <w:color w:val="467886"/>
            <w:u w:val="single"/>
            <w:rtl w:val="0"/>
          </w:rPr>
          <w:t xml:space="preserve">https://www.sciencedirect.com/science/article/pii/S2214785320317697?utm_source=chatgpt.com</w:t>
        </w:r>
      </w:hyperlink>
      <w:r w:rsidDel="00000000" w:rsidR="00000000" w:rsidRPr="00000000">
        <w:rPr>
          <w:rtl w:val="0"/>
        </w:rPr>
      </w:r>
    </w:p>
    <w:p w:rsidR="00000000" w:rsidDel="00000000" w:rsidP="00000000" w:rsidRDefault="00000000" w:rsidRPr="00000000" w14:paraId="00000018">
      <w:pPr>
        <w:rPr/>
      </w:pPr>
      <w:hyperlink r:id="rId9">
        <w:r w:rsidDel="00000000" w:rsidR="00000000" w:rsidRPr="00000000">
          <w:rPr>
            <w:color w:val="467886"/>
            <w:u w:val="single"/>
            <w:rtl w:val="0"/>
          </w:rPr>
          <w:t xml:space="preserve">https://pubmed.ncbi.nlm.nih.gov/15653033/</w:t>
        </w:r>
      </w:hyperlink>
      <w:r w:rsidDel="00000000" w:rsidR="00000000" w:rsidRPr="00000000">
        <w:rPr>
          <w:rtl w:val="0"/>
        </w:rPr>
      </w:r>
    </w:p>
    <w:p w:rsidR="00000000" w:rsidDel="00000000" w:rsidP="00000000" w:rsidRDefault="00000000" w:rsidRPr="00000000" w14:paraId="00000019">
      <w:pPr>
        <w:rPr/>
      </w:pPr>
      <w:hyperlink r:id="rId10">
        <w:r w:rsidDel="00000000" w:rsidR="00000000" w:rsidRPr="00000000">
          <w:rPr>
            <w:color w:val="467886"/>
            <w:u w:val="single"/>
            <w:rtl w:val="0"/>
          </w:rPr>
          <w:t xml:space="preserve">https://www.mdpi.com/2073-4352/13/1/113?utm_source=chatgpt.com</w:t>
        </w:r>
      </w:hyperlink>
      <w:r w:rsidDel="00000000" w:rsidR="00000000" w:rsidRPr="00000000">
        <w:rPr>
          <w:rtl w:val="0"/>
        </w:rPr>
      </w:r>
    </w:p>
    <w:p w:rsidR="00000000" w:rsidDel="00000000" w:rsidP="00000000" w:rsidRDefault="00000000" w:rsidRPr="00000000" w14:paraId="0000001A">
      <w:pPr>
        <w:rPr/>
      </w:pPr>
      <w:hyperlink r:id="rId11">
        <w:r w:rsidDel="00000000" w:rsidR="00000000" w:rsidRPr="00000000">
          <w:rPr>
            <w:color w:val="467886"/>
            <w:u w:val="single"/>
            <w:rtl w:val="0"/>
          </w:rPr>
          <w:t xml:space="preserve">https://aircraft.airbus.com/en/services/enhance/system-upgrades/fuel-efficiency-solutions?utm_source=chatgpt.com</w:t>
        </w:r>
      </w:hyperlink>
      <w:r w:rsidDel="00000000" w:rsidR="00000000" w:rsidRPr="00000000">
        <w:rPr>
          <w:rtl w:val="0"/>
        </w:rPr>
      </w:r>
    </w:p>
    <w:p w:rsidR="00000000" w:rsidDel="00000000" w:rsidP="00000000" w:rsidRDefault="00000000" w:rsidRPr="00000000" w14:paraId="0000001B">
      <w:pPr>
        <w:rPr/>
      </w:pPr>
      <w:hyperlink r:id="rId12">
        <w:r w:rsidDel="00000000" w:rsidR="00000000" w:rsidRPr="00000000">
          <w:rPr>
            <w:color w:val="467886"/>
            <w:u w:val="single"/>
            <w:rtl w:val="0"/>
          </w:rPr>
          <w:t xml:space="preserve">https://www.geaerospace.com/news/articles/manufacturing/manufacturing-milestone-30000-additive-fuel-nozzles?utm_source=chatgpt.com</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rPr/>
      </w:pPr>
      <w:r w:rsidDel="00000000" w:rsidR="00000000" w:rsidRPr="00000000">
        <w:rPr>
          <w:b w:val="1"/>
          <w:rtl w:val="0"/>
        </w:rPr>
        <w:t xml:space="preserve">A. Problem Statement</w:t>
      </w:r>
      <w:r w:rsidDel="00000000" w:rsidR="00000000" w:rsidRPr="00000000">
        <w:rPr>
          <w:rtl w:val="0"/>
        </w:rPr>
        <w:t xml:space="preserve"> (What problem are you trying to address through research or product development?) </w:t>
      </w:r>
    </w:p>
    <w:p w:rsidR="00000000" w:rsidDel="00000000" w:rsidP="00000000" w:rsidRDefault="00000000" w:rsidRPr="00000000" w14:paraId="00000022">
      <w:pPr>
        <w:rPr/>
      </w:pPr>
      <w:r w:rsidDel="00000000" w:rsidR="00000000" w:rsidRPr="00000000">
        <w:rPr>
          <w:rtl w:val="0"/>
        </w:rPr>
        <w:t xml:space="preserve">I aim to leverage AI and fracture mechanics to harness the damage and imperfection tolerance of architected metamaterials, thereby enabling the rational design and additive manufacturing of resilient, lightweight metamaterials for heavy-duty unmanned aerial and ground systems.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rFonts w:ascii="Arial" w:cs="Arial" w:eastAsia="Arial" w:hAnsi="Arial"/>
          <w:highlight w:val="yellow"/>
        </w:rPr>
      </w:pPr>
      <w:r w:rsidDel="00000000" w:rsidR="00000000" w:rsidRPr="00000000">
        <w:rPr>
          <w:rFonts w:ascii="Arial" w:cs="Arial" w:eastAsia="Arial" w:hAnsi="Arial"/>
          <w:highlight w:val="yellow"/>
          <w:rtl w:val="0"/>
        </w:rPr>
        <w:t xml:space="preserve">The operational resilience of heavy-duty unmanned systems is critically undermined by the lack of materials that are simultaneously lightweight and damage-tolerant, as current high-strength options are prone to catastrophic failure from minor, unavoidable flaws.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pictures</w:t>
      </w:r>
    </w:p>
    <w:p w:rsidR="00000000" w:rsidDel="00000000" w:rsidP="00000000" w:rsidRDefault="00000000" w:rsidRPr="00000000" w14:paraId="00000027">
      <w:pPr>
        <w:rPr/>
      </w:pPr>
      <w:r w:rsidDel="00000000" w:rsidR="00000000" w:rsidRPr="00000000">
        <w:rPr>
          <w:b w:val="1"/>
          <w:rtl w:val="0"/>
        </w:rPr>
        <w:t xml:space="preserve">B. Significance</w:t>
      </w:r>
      <w:r w:rsidDel="00000000" w:rsidR="00000000" w:rsidRPr="00000000">
        <w:rPr>
          <w:rtl w:val="0"/>
        </w:rPr>
        <w:t xml:space="preserve"> (Why is the problem important? What is the value proposition to users or society?)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highlight w:val="yellow"/>
        </w:rPr>
      </w:pPr>
      <w:r w:rsidDel="00000000" w:rsidR="00000000" w:rsidRPr="00000000">
        <w:rPr>
          <w:highlight w:val="yellow"/>
          <w:rtl w:val="0"/>
        </w:rPr>
        <w:t xml:space="preserve">This research is significant because it addresses a fundamental limitation in materials science that currently constrains the reliability and safety of unmanned systems. By enabling a shift from brittle, catastrophic failure to predictable, graceful degradation in lightweight structures, this work will directly enhance the operational envelope, survivability, and mission assurance of unmanned platforms in critical defense, aerospace, and industrial applications.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rtl w:val="0"/>
        </w:rPr>
        <w:t xml:space="preserve">C. Innovation</w:t>
      </w:r>
      <w:r w:rsidDel="00000000" w:rsidR="00000000" w:rsidRPr="00000000">
        <w:rPr>
          <w:rtl w:val="0"/>
        </w:rPr>
        <w:t xml:space="preserve"> (What is the innovation or novelty in your approach?)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highlight w:val="yellow"/>
        </w:rPr>
      </w:pPr>
      <w:r w:rsidDel="00000000" w:rsidR="00000000" w:rsidRPr="00000000">
        <w:rPr>
          <w:highlight w:val="yellow"/>
          <w:rtl w:val="0"/>
        </w:rPr>
        <w:t xml:space="preserve">The innovation lies in creating an AI-driven design framework that proactively </w:t>
      </w:r>
      <w:r w:rsidDel="00000000" w:rsidR="00000000" w:rsidRPr="00000000">
        <w:rPr>
          <w:i w:val="1"/>
          <w:highlight w:val="yellow"/>
          <w:rtl w:val="0"/>
        </w:rPr>
        <w:t xml:space="preserve">engineers</w:t>
      </w:r>
      <w:r w:rsidDel="00000000" w:rsidR="00000000" w:rsidRPr="00000000">
        <w:rPr>
          <w:highlight w:val="yellow"/>
          <w:rtl w:val="0"/>
        </w:rPr>
        <w:t xml:space="preserve"> damage tolerance into materials from the ground up. Instead of the traditional trial-and-error approach of testing materials to see how they break, we are using AI and fracture mechanics to inversely design novel metamaterial architectures with predictable, built in fail safes.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 Research Literature Review or Market Research for Potential Impact (Have you conducted surveys with potential users or done any market research. If a research project, please describe the literature review and the current state-of-the-art.) </w:t>
      </w:r>
    </w:p>
    <w:p w:rsidR="00000000" w:rsidDel="00000000" w:rsidP="00000000" w:rsidRDefault="00000000" w:rsidRPr="00000000" w14:paraId="00000031">
      <w:pPr>
        <w:rPr/>
      </w:pPr>
      <w:r w:rsidDel="00000000" w:rsidR="00000000" w:rsidRPr="00000000">
        <w:rPr>
          <w:rtl w:val="0"/>
        </w:rPr>
        <w:t xml:space="preserve">[literature]</w:t>
      </w:r>
    </w:p>
    <w:p w:rsidR="00000000" w:rsidDel="00000000" w:rsidP="00000000" w:rsidRDefault="00000000" w:rsidRPr="00000000" w14:paraId="00000032">
      <w:pPr>
        <w:rPr/>
      </w:pPr>
      <w:hyperlink r:id="rId13">
        <w:r w:rsidDel="00000000" w:rsidR="00000000" w:rsidRPr="00000000">
          <w:rPr>
            <w:color w:val="1155cc"/>
            <w:u w:val="single"/>
            <w:rtl w:val="0"/>
          </w:rPr>
          <w:t xml:space="preserve">https://www.mdpi.com/2072-666X/14/12/2191</w:t>
        </w:r>
      </w:hyperlink>
      <w:r w:rsidDel="00000000" w:rsidR="00000000" w:rsidRPr="00000000">
        <w:rPr>
          <w:rtl w:val="0"/>
        </w:rPr>
      </w:r>
    </w:p>
    <w:p w:rsidR="00000000" w:rsidDel="00000000" w:rsidP="00000000" w:rsidRDefault="00000000" w:rsidRPr="00000000" w14:paraId="00000033">
      <w:pPr>
        <w:rPr/>
      </w:pPr>
      <w:hyperlink r:id="rId14">
        <w:r w:rsidDel="00000000" w:rsidR="00000000" w:rsidRPr="00000000">
          <w:rPr>
            <w:color w:val="1155cc"/>
            <w:u w:val="single"/>
            <w:rtl w:val="0"/>
          </w:rPr>
          <w:t xml:space="preserve">https://met3dp.com/uav-frame-3d-printing-with-lightweight-aluminum/</w:t>
        </w:r>
      </w:hyperlink>
      <w:r w:rsidDel="00000000" w:rsidR="00000000" w:rsidRPr="00000000">
        <w:rPr>
          <w:rtl w:val="0"/>
        </w:rPr>
      </w:r>
    </w:p>
    <w:p w:rsidR="00000000" w:rsidDel="00000000" w:rsidP="00000000" w:rsidRDefault="00000000" w:rsidRPr="00000000" w14:paraId="00000034">
      <w:pPr>
        <w:rPr/>
      </w:pPr>
      <w:hyperlink r:id="rId15">
        <w:r w:rsidDel="00000000" w:rsidR="00000000" w:rsidRPr="00000000">
          <w:rPr>
            <w:color w:val="1155cc"/>
            <w:u w:val="single"/>
            <w:rtl w:val="0"/>
          </w:rPr>
          <w:t xml:space="preserve">https://www.fortunebusinessinsights.com/industry-reports/unmanned-aerial-vehicle-uav-market-101603</w:t>
        </w:r>
      </w:hyperlink>
      <w:r w:rsidDel="00000000" w:rsidR="00000000" w:rsidRPr="00000000">
        <w:rPr>
          <w:rtl w:val="0"/>
        </w:rPr>
      </w:r>
    </w:p>
    <w:p w:rsidR="00000000" w:rsidDel="00000000" w:rsidP="00000000" w:rsidRDefault="00000000" w:rsidRPr="00000000" w14:paraId="00000035">
      <w:pPr>
        <w:rPr/>
      </w:pPr>
      <w:hyperlink r:id="rId16">
        <w:r w:rsidDel="00000000" w:rsidR="00000000" w:rsidRPr="00000000">
          <w:rPr>
            <w:color w:val="1155cc"/>
            <w:u w:val="single"/>
            <w:rtl w:val="0"/>
          </w:rPr>
          <w:t xml:space="preserve">https://www.grandviewresearch.com/industry-analysis/unmanned-ground-vehicles-market-report</w:t>
        </w:r>
      </w:hyperlink>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[marketing] numbers, demand for heavy-duty unmanned aerial and ground systems,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240" w:before="240" w:lineRule="auto"/>
        <w:rPr>
          <w:highlight w:val="yellow"/>
        </w:rPr>
      </w:pPr>
      <w:r w:rsidDel="00000000" w:rsidR="00000000" w:rsidRPr="00000000">
        <w:rPr>
          <w:highlight w:val="yellow"/>
          <w:rtl w:val="0"/>
        </w:rPr>
        <w:t xml:space="preserve">The demand for heavy-duty unmanned systems is experiencing explosive growth, creating a substantial market where material reliability is a paramount concern. The global Unmanned Aerial Vehicle (UAV) market was valued at USD 36.41 billion in 2024 and is projected to reach over USD 125 billion by 2032, expanding at a CAGR of 17.3%. Concurrently, the Unmanned Ground Vehicle (UGV) market is forecast to grow from USD 3.33 billion in 2024 to over USD 7.7 billion by 2033.</w:t>
      </w:r>
    </w:p>
    <w:p w:rsidR="00000000" w:rsidDel="00000000" w:rsidP="00000000" w:rsidRDefault="00000000" w:rsidRPr="00000000" w14:paraId="0000003A">
      <w:pPr>
        <w:spacing w:after="240" w:before="240" w:lineRule="auto"/>
        <w:rPr>
          <w:highlight w:val="yellow"/>
        </w:rPr>
      </w:pPr>
      <w:r w:rsidDel="00000000" w:rsidR="00000000" w:rsidRPr="00000000">
        <w:rPr>
          <w:highlight w:val="yellow"/>
          <w:rtl w:val="0"/>
        </w:rPr>
        <w:t xml:space="preserve">This rapid and large-scale deployment of high-value assets in defense, logistics, and industrial inspection means the financial and strategic consequences of structural failure are escalating. Each system loss due to material failure represents not just the cost of the asset itself, but also potential mission failure, increased operational risk, and significant lifecycle costs associated with repair and replacement. The value proposition of this research is therefore direct and substantial: by creating materials that fail gracefully rather than catastrophically, we can drastically increase the reliability, survivability, and operational lifespan of these critical unmanned systems, providing a significant competitive and strategic advantage in this multi-billion dollar market.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E. Unmet Needs/Research Issues (What are the unmet/market needs or research issues to be addressed?) </w:t>
      </w:r>
    </w:p>
    <w:p w:rsidR="00000000" w:rsidDel="00000000" w:rsidP="00000000" w:rsidRDefault="00000000" w:rsidRPr="00000000" w14:paraId="0000003F">
      <w:pPr>
        <w:rPr/>
      </w:pPr>
      <w:r w:rsidDel="00000000" w:rsidR="00000000" w:rsidRPr="00000000">
        <w:rPr>
          <w:rtl w:val="0"/>
        </w:rPr>
        <w:t xml:space="preserve">preliminary research</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highlight w:val="yellow"/>
        </w:rPr>
      </w:pPr>
      <w:r w:rsidDel="00000000" w:rsidR="00000000" w:rsidRPr="00000000">
        <w:rPr>
          <w:highlight w:val="yellow"/>
          <w:rtl w:val="0"/>
        </w:rPr>
        <w:t xml:space="preserve">Fracture-reliable, lightweight lattices still lack validated crack-initiation and crack-arrest criteria that account for topology, relative density, and as-built roughness under realistic multiaxial loads. Using the attached article as a template, I experimentally recreated the hexagonal two-dimensional lattice and matched the stiffness scaling E/Es = A ρ^n where A is the modulus prefactor and n is the relative-density exponent for bending-dominated hexagonal lattices. These results confirm the baseline behavior and expose gaps in arrest criteria and fatigue-growth models once imperfections and surface valleys are introduced.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F. Phase-2 </w:t>
      </w:r>
      <w:r w:rsidDel="00000000" w:rsidR="00000000" w:rsidRPr="00000000">
        <w:rPr>
          <w:b w:val="1"/>
          <w:rtl w:val="0"/>
        </w:rPr>
        <w:t xml:space="preserve">Specific Goals</w:t>
      </w:r>
      <w:r w:rsidDel="00000000" w:rsidR="00000000" w:rsidRPr="00000000">
        <w:rPr>
          <w:rtl w:val="0"/>
        </w:rPr>
        <w:t xml:space="preserve"> (Describe clearly the Phase-2 goals for further research or prototype development plans.) </w:t>
      </w:r>
    </w:p>
    <w:p w:rsidR="00000000" w:rsidDel="00000000" w:rsidP="00000000" w:rsidRDefault="00000000" w:rsidRPr="00000000" w14:paraId="00000044">
      <w:pPr>
        <w:rPr/>
      </w:pPr>
      <w:r w:rsidDel="00000000" w:rsidR="00000000" w:rsidRPr="00000000">
        <w:rPr>
          <w:rtl w:val="0"/>
        </w:rPr>
        <w:t xml:space="preserve">design and make resilient, lightweight metamaterials for heavy-duty unmanned aerial and ground systems</w:t>
      </w:r>
    </w:p>
    <w:p w:rsidR="00000000" w:rsidDel="00000000" w:rsidP="00000000" w:rsidRDefault="00000000" w:rsidRPr="00000000" w14:paraId="00000045">
      <w:pPr>
        <w:rPr/>
      </w:pPr>
      <w:r w:rsidDel="00000000" w:rsidR="00000000" w:rsidRPr="00000000">
        <w:rPr>
          <w:rtl w:val="0"/>
        </w:rPr>
        <w:t xml:space="preserve">[collaborate with robotics/drone teams, apply your materials, test the materials in the real operating conditions]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highlight w:val="yellow"/>
        </w:rPr>
      </w:pPr>
      <w:r w:rsidDel="00000000" w:rsidR="00000000" w:rsidRPr="00000000">
        <w:rPr>
          <w:highlight w:val="yellow"/>
          <w:rtl w:val="0"/>
        </w:rPr>
        <w:t xml:space="preserve">Prove that our lattices meaningfully reduce field failures and operating costs in unmanned aircrafts and ground vehicles. Show measurable gains over today’s parts, for example higher crack start thresholds, longer fatigue life, and higher impact energy absorption at the same weight. Deliver one flight-like bracket or core panel and one implant-like porous coupon that both meet target reliability metrics relevant to certification or clinical safety. Translate these gains into simple decision rules that an engineer can apply during design.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G. Phase-2 Research Plan and Methods (Describe your Phase-2 work, research plan and/or specifications of the next-level prototype. Describe methods or procedures for your Phase-2 work.)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highlight w:val="yellow"/>
        </w:rPr>
      </w:pPr>
      <w:r w:rsidDel="00000000" w:rsidR="00000000" w:rsidRPr="00000000">
        <w:rPr>
          <w:highlight w:val="yellow"/>
          <w:rtl w:val="0"/>
        </w:rPr>
        <w:t xml:space="preserve">We will run for UAV and UGV common materials, mapping real duty cycles like multiaxial loads into crack-risk load cases. An AI-assisted design loop will search lattice topologies and densities under weight, stiffness, and manufacturability constraints, using our prior scaling (A = 1.5, n = 3) as the baseline. The outputs will be ranked digital designs with predicted crack initiation thresholds, R-curve trends, and energy absorption, plus simple selection rules engineers can apply during part design. We will package geometries, analysis scripts, and decision checklists so the designs are ready for downstream fabrication and acceptance testing in a later phase.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H. Phase-2 Expected </w:t>
      </w:r>
      <w:r w:rsidDel="00000000" w:rsidR="00000000" w:rsidRPr="00000000">
        <w:rPr>
          <w:b w:val="1"/>
          <w:rtl w:val="0"/>
        </w:rPr>
        <w:t xml:space="preserve">Outcomes and Deliverables</w:t>
      </w:r>
      <w:r w:rsidDel="00000000" w:rsidR="00000000" w:rsidRPr="00000000">
        <w:rPr>
          <w:rtl w:val="0"/>
        </w:rPr>
        <w:t xml:space="preserve"> (What do you expect as the outcome of research or deliverables with timeline for Phase-2 work?)</w:t>
      </w:r>
    </w:p>
    <w:p w:rsidR="00000000" w:rsidDel="00000000" w:rsidP="00000000" w:rsidRDefault="00000000" w:rsidRPr="00000000" w14:paraId="00000052">
      <w:pPr>
        <w:rPr/>
      </w:pPr>
      <w:r w:rsidDel="00000000" w:rsidR="00000000" w:rsidRPr="00000000">
        <w:rPr>
          <w:rtl w:val="0"/>
        </w:rPr>
        <w:t xml:space="preserve">List of deliverables, in order</w:t>
      </w:r>
    </w:p>
    <w:p w:rsidR="00000000" w:rsidDel="00000000" w:rsidP="00000000" w:rsidRDefault="00000000" w:rsidRPr="00000000" w14:paraId="00000053">
      <w:pPr>
        <w:rPr/>
      </w:pPr>
      <w:r w:rsidDel="00000000" w:rsidR="00000000" w:rsidRPr="00000000">
        <w:rPr>
          <w:rtl w:val="0"/>
        </w:rPr>
        <w:t xml:space="preserve">[important]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highlight w:val="yellow"/>
        </w:rPr>
      </w:pPr>
      <w:r w:rsidDel="00000000" w:rsidR="00000000" w:rsidRPr="00000000">
        <w:rPr>
          <w:highlight w:val="yellow"/>
          <w:rtl w:val="0"/>
        </w:rPr>
        <w:t xml:space="preserve">A validated playbook that tells manufacturers which lattice, density, and surface finish to pick for a given weight and durability target. Two demonstration parts that show fewer cracks, longer life, and equal or better stiffness at lower mass compared to current hardware. An open set of scripts, datasets, and simple worksheets that convert test results into design allowables that can be used by airframe and device teams. A short path to pilot adoption with partners in machine manufacturing and beyond.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 Resources and Budget Needed (Provide a budget and justification for supplies to pursue Phase-2 research and/or pursue market research and develop the next prototype. Budget is limited to $3,000.)</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highlight w:val="yellow"/>
        </w:rPr>
      </w:pPr>
      <w:r w:rsidDel="00000000" w:rsidR="00000000" w:rsidRPr="00000000">
        <w:rPr>
          <w:highlight w:val="yellow"/>
          <w:rtl w:val="0"/>
        </w:rPr>
        <w:t xml:space="preserve">The budget will be used for 3D printing or resin printing of candidate lattice parts at NJIT and for computational assistance to run the design and analysis. This includes printer time and materials, along with compute hardware, cloud credits, and software licenses needed to execute the simulations and optimization within the phase.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C02EE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02EE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02EE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02EE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C02EE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C02EE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02EE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02EE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02EE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02EE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02EE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02EE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02EE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02EE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02EE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02EEC"/>
    <w:rPr>
      <w:i w:val="1"/>
      <w:iCs w:val="1"/>
      <w:color w:val="404040" w:themeColor="text1" w:themeTint="0000BF"/>
    </w:rPr>
  </w:style>
  <w:style w:type="paragraph" w:styleId="ListParagraph">
    <w:name w:val="List Paragraph"/>
    <w:basedOn w:val="Normal"/>
    <w:uiPriority w:val="34"/>
    <w:qFormat w:val="1"/>
    <w:rsid w:val="00C02EEC"/>
    <w:pPr>
      <w:ind w:left="720"/>
      <w:contextualSpacing w:val="1"/>
    </w:pPr>
  </w:style>
  <w:style w:type="character" w:styleId="IntenseEmphasis">
    <w:name w:val="Intense Emphasis"/>
    <w:basedOn w:val="DefaultParagraphFont"/>
    <w:uiPriority w:val="21"/>
    <w:qFormat w:val="1"/>
    <w:rsid w:val="00C02EEC"/>
    <w:rPr>
      <w:i w:val="1"/>
      <w:iCs w:val="1"/>
      <w:color w:val="0f4761" w:themeColor="accent1" w:themeShade="0000BF"/>
    </w:rPr>
  </w:style>
  <w:style w:type="paragraph" w:styleId="IntenseQuote">
    <w:name w:val="Intense Quote"/>
    <w:basedOn w:val="Normal"/>
    <w:next w:val="Normal"/>
    <w:link w:val="IntenseQuoteChar"/>
    <w:uiPriority w:val="30"/>
    <w:qFormat w:val="1"/>
    <w:rsid w:val="00C02EE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02EEC"/>
    <w:rPr>
      <w:i w:val="1"/>
      <w:iCs w:val="1"/>
      <w:color w:val="0f4761" w:themeColor="accent1" w:themeShade="0000BF"/>
    </w:rPr>
  </w:style>
  <w:style w:type="character" w:styleId="IntenseReference">
    <w:name w:val="Intense Reference"/>
    <w:basedOn w:val="DefaultParagraphFont"/>
    <w:uiPriority w:val="32"/>
    <w:qFormat w:val="1"/>
    <w:rsid w:val="00C02EEC"/>
    <w:rPr>
      <w:b w:val="1"/>
      <w:bCs w:val="1"/>
      <w:smallCaps w:val="1"/>
      <w:color w:val="0f4761" w:themeColor="accent1" w:themeShade="0000BF"/>
      <w:spacing w:val="5"/>
    </w:rPr>
  </w:style>
  <w:style w:type="character" w:styleId="Hyperlink">
    <w:name w:val="Hyperlink"/>
    <w:basedOn w:val="DefaultParagraphFont"/>
    <w:uiPriority w:val="99"/>
    <w:unhideWhenUsed w:val="1"/>
    <w:rsid w:val="00047699"/>
    <w:rPr>
      <w:color w:val="467886" w:themeColor="hyperlink"/>
      <w:u w:val="single"/>
    </w:rPr>
  </w:style>
  <w:style w:type="character" w:styleId="UnresolvedMention">
    <w:name w:val="Unresolved Mention"/>
    <w:basedOn w:val="DefaultParagraphFont"/>
    <w:uiPriority w:val="99"/>
    <w:semiHidden w:val="1"/>
    <w:unhideWhenUsed w:val="1"/>
    <w:rsid w:val="00047699"/>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aircraft.airbus.com/en/services/enhance/system-upgrades/fuel-efficiency-solutions?utm_source=chatgpt.com" TargetMode="External"/><Relationship Id="rId10" Type="http://schemas.openxmlformats.org/officeDocument/2006/relationships/hyperlink" Target="https://www.mdpi.com/2073-4352/13/1/113?utm_source=chatgpt.com" TargetMode="External"/><Relationship Id="rId13" Type="http://schemas.openxmlformats.org/officeDocument/2006/relationships/hyperlink" Target="https://www.mdpi.com/2072-666X/14/12/2191" TargetMode="External"/><Relationship Id="rId12" Type="http://schemas.openxmlformats.org/officeDocument/2006/relationships/hyperlink" Target="https://www.geaerospace.com/news/articles/manufacturing/manufacturing-milestone-30000-additive-fuel-nozzles?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15653033/" TargetMode="External"/><Relationship Id="rId15" Type="http://schemas.openxmlformats.org/officeDocument/2006/relationships/hyperlink" Target="https://www.fortunebusinessinsights.com/industry-reports/unmanned-aerial-vehicle-uav-market-101603" TargetMode="External"/><Relationship Id="rId14" Type="http://schemas.openxmlformats.org/officeDocument/2006/relationships/hyperlink" Target="https://met3dp.com/uav-frame-3d-printing-with-lightweight-aluminum/" TargetMode="External"/><Relationship Id="rId16" Type="http://schemas.openxmlformats.org/officeDocument/2006/relationships/hyperlink" Target="https://www.grandviewresearch.com/industry-analysis/unmanned-ground-vehicles-market-repor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uthors.library.caltech.edu/records/2q6yr-aag28?utm_source=chatgpt.com" TargetMode="External"/><Relationship Id="rId8" Type="http://schemas.openxmlformats.org/officeDocument/2006/relationships/hyperlink" Target="https://www.sciencedirect.com/science/article/pii/S2214785320317697?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wVAsN7uls3hNL1RYmEaUR9IeQ==">CgMxLjA4AHIhMUFtM1VzSVlETXhRWjQtQWswSzBoZXNOUURlUmV1aDJ0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2025-09-30T15:19:00Z</dcterms:created>
  <dc:creator>Rebelo, Helder</dc:creator>
</cp:coreProperties>
</file>