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Statement of Purpose</w:t>
      </w:r>
    </w:p>
    <w:p>
      <w:pPr>
        <w:spacing w:after="320"/>
        <w:jc w:val="center"/>
      </w:pPr>
      <w:r>
        <w:rPr>
          <w:rFonts w:ascii="Arial" w:cs="Arial" w:eastAsia="Arial" w:hAnsi="Arial"/>
          <w:color w:val="555555"/>
          <w:sz w:val="22"/>
          <w:szCs w:val="22"/>
        </w:rPr>
        <w:t xml:space="preserve">Alexander Adams | Department of Aeronautics and Astronautics</w:t>
      </w:r>
    </w:p>
    <w:p>
      <w:pPr>
        <w:spacing w:after="120" w:before="280"/>
      </w:pPr>
      <w:r>
        <w:rPr>
          <w:rFonts w:ascii="Arial" w:cs="Arial" w:eastAsia="Arial" w:hAnsi="Arial"/>
          <w:b/>
          <w:bCs/>
          <w:sz w:val="26"/>
          <w:szCs w:val="26"/>
        </w:rPr>
        <w:t xml:space="preserve">Research &amp; Technical Background</w:t>
      </w:r>
    </w:p>
    <w:p>
      <w:pPr>
        <w:spacing w:after="160" w:before="0"/>
        <w:jc w:val="both"/>
      </w:pPr>
      <w:r>
        <w:rPr>
          <w:rFonts w:ascii="Arial" w:cs="Arial" w:eastAsia="Arial" w:hAnsi="Arial"/>
          <w:sz w:val="24"/>
          <w:szCs w:val="24"/>
        </w:rPr>
        <w:t xml:space="preserve">From the moment I first wrote a finite element solver to simulate structural loads on an F-16 airframe in high school, I understood that the most consequential engineering problems live at the intersection of computation, physics, and materials. That conviction has shaped every research decision I have made since, and it is what draws me to MIT's Department of Aeronautics and Astronautics, where the problems are hardest and the standards are highest.</w:t>
      </w:r>
    </w:p>
    <w:p>
      <w:pPr>
        <w:spacing w:after="160" w:before="0"/>
        <w:jc w:val="both"/>
      </w:pPr>
      <w:r>
        <w:rPr>
          <w:rFonts w:ascii="Arial" w:cs="Arial" w:eastAsia="Arial" w:hAnsi="Arial"/>
          <w:sz w:val="24"/>
          <w:szCs w:val="24"/>
        </w:rPr>
        <w:t xml:space="preserve">My research trajectory began in earnest during my sophomore year of high school, when I independently pursued computational studies of aerospace structures. Using physics-based finite element analysis solvers, I modeled stress distributions in fighter jet geometries and explored aerodynamic load cases on drone configurations. That work earned recognition at the Westchester Science and Engineering Fair (WESEF), the Junior Science and Humanities Symposium (JSHS), the Regeneron Science Talent Search, the Tri-County Science Fair, the Somers Science Symposium, and the Symposium of Rising Scholars, and resulted in a publication. It was also the formative experience that taught me to see engineering not as the application of known methods but as the construction of new ones.</w:t>
      </w:r>
    </w:p>
    <w:p>
      <w:pPr>
        <w:spacing w:after="160" w:before="0"/>
        <w:jc w:val="both"/>
      </w:pPr>
      <w:r>
        <w:rPr>
          <w:rFonts w:ascii="Arial" w:cs="Arial" w:eastAsia="Arial" w:hAnsi="Arial"/>
          <w:sz w:val="24"/>
          <w:szCs w:val="24"/>
        </w:rPr>
        <w:t xml:space="preserve">At the University of Pittsburgh, I have pursued that instinct across three concurrent research threads. In Dr. Tevis Jacobs' tribology lab during my freshman year, I led an independent project studying the adhesion mechanics of silicon spheres on carbon nitride substrates, grounding myself in experimental materials characterization at the nanoscale. In Dr. Li's surface engineering lab, where I have worked since my sophomore year, I shifted the lens from measurement to prediction: I designed and executed dip-coating experiments, collected the experimental data myself, and then built a machine learning pipeline using physics-informed neural networks and Bayesian-optimized ensemble models to predict bonded thin-film thickness from process parameters. That project is progressing toward publication and represents what I believe is the right model for computational materials research: physical experiments informing data-driven models, which in turn generate testable hypotheses.</w:t>
      </w:r>
    </w:p>
    <w:p>
      <w:pPr>
        <w:spacing w:after="160" w:before="0"/>
        <w:jc w:val="both"/>
      </w:pPr>
      <w:r>
        <w:rPr>
          <w:rFonts w:ascii="Arial" w:cs="Arial" w:eastAsia="Arial" w:hAnsi="Arial"/>
          <w:sz w:val="24"/>
          <w:szCs w:val="24"/>
        </w:rPr>
        <w:t xml:space="preserve">Simultaneously, I pursued an independent theoretical project that resulted in an arXiv preprint analyzing the comparative performance of the Moore-Penrose pseudoinverse and gradient descent for linear regression, with a focus on conditioning, numerical stability, and convergence guarantees. While the problem was classical, the framing was novel: I approached it as a computational scientist concerned with the regimes in which each method fails, not just the regimes in which each succeeds.</w:t>
      </w:r>
    </w:p>
    <w:p>
      <w:pPr>
        <w:spacing w:after="160" w:before="0"/>
        <w:jc w:val="both"/>
      </w:pPr>
      <w:r>
        <w:rPr>
          <w:rFonts w:ascii="Arial" w:cs="Arial" w:eastAsia="Arial" w:hAnsi="Arial"/>
          <w:sz w:val="24"/>
          <w:szCs w:val="24"/>
        </w:rPr>
        <w:t xml:space="preserve">At Carnegie Mellon University, I joined Dr. Dickey's research group to apply deep learning to a fundamentally different materials domain. I developed and trained Deep Embedded Clustering (DEC and IDEC) autoencoders on vector pair correlation functions derived from STEM imaging of ferroelectric materials, evaluating cluster quality across a range of five to twenty clusters using unsupervised metrics. The project demanded that I reason carefully about what structure in high-dimensional embedding space corresponds to physically meaningful distinctions in atomic arrangements, a question that has no clean answer and requires integrating domain knowledge with algorithmic judgment.</w:t>
      </w:r>
    </w:p>
    <w:p>
      <w:pPr>
        <w:spacing w:after="160" w:before="0"/>
        <w:jc w:val="both"/>
      </w:pPr>
      <w:r>
        <w:rPr>
          <w:rFonts w:ascii="Arial" w:cs="Arial" w:eastAsia="Arial" w:hAnsi="Arial"/>
          <w:sz w:val="24"/>
          <w:szCs w:val="24"/>
        </w:rPr>
        <w:t xml:space="preserve">My two NSF REU fellowships have pushed that integration further. In Summer 2025, at the AI SUSTAIN REU, I applied a multi-algorithm ML approach combining random forest regression, backpropagation neural networks, k-nearest neighbors, linear regression, and a YOLOv5 CNN for fracture failure mode classification to predict mechanical properties of GFRP and CFRP composites. The work placed first at the program symposium. In Summer 2026, I am currently at NJIT's Optics and Photonics REU, developing graph neural network (GNN) architectures to optimize material strength predictions in complex lattice topologies, a project with a direct path to publication and with strong implications for the design of lightweight, high-strength structures in aerospace applications.</w:t>
      </w:r>
    </w:p>
    <w:p>
      <w:pPr>
        <w:spacing w:after="160" w:before="0"/>
        <w:jc w:val="both"/>
      </w:pPr>
      <w:r>
        <w:rPr>
          <w:rFonts w:ascii="Arial" w:cs="Arial" w:eastAsia="Arial" w:hAnsi="Arial"/>
          <w:sz w:val="24"/>
          <w:szCs w:val="24"/>
        </w:rPr>
        <w:t xml:space="preserve">Across these projects, a clear research identity has emerged: I am drawn to problems where the physical system is complex enough that purely analytical methods are insufficient, where experimental data is expensive or limited, and where the right computational framework can extract structure that domain intuition alone cannot. Aerospace materials and structural systems are the canonical instance of that problem class.</w:t>
      </w:r>
    </w:p>
    <w:p>
      <w:pPr>
        <w:spacing w:after="120" w:before="280"/>
      </w:pPr>
      <w:r>
        <w:rPr>
          <w:rFonts w:ascii="Arial" w:cs="Arial" w:eastAsia="Arial" w:hAnsi="Arial"/>
          <w:b/>
          <w:bCs/>
          <w:sz w:val="26"/>
          <w:szCs w:val="26"/>
        </w:rPr>
        <w:t xml:space="preserve">Professional Experience &amp; Objectives</w:t>
      </w:r>
    </w:p>
    <w:p>
      <w:pPr>
        <w:spacing w:after="160" w:before="0"/>
        <w:jc w:val="both"/>
      </w:pPr>
      <w:r>
        <w:rPr>
          <w:rFonts w:ascii="Arial" w:cs="Arial" w:eastAsia="Arial" w:hAnsi="Arial"/>
          <w:sz w:val="24"/>
          <w:szCs w:val="24"/>
        </w:rPr>
        <w:t xml:space="preserve">My professional experience in quantitative trading at Limex deepened a complementary set of skills: low-latency system design, statistical modeling under uncertainty, and the engineering of decision pipelines that must perform reliably in real time. I built statistical arbitrage, breadth scalping, and momentum breakout strategies in Python, engineered async execution engines scanning over three hundred opportunities per minute, and reduced execution latency by approximately sixty percent. The intellectual overlap with aerospace systems engineering is more than superficial: both domains require models that are accurate enough to be trusted in deployment, fast enough to be actionable, and robust enough to degrade gracefully under distribution shift.</w:t>
      </w:r>
    </w:p>
    <w:p>
      <w:pPr>
        <w:spacing w:after="160" w:before="0"/>
        <w:jc w:val="both"/>
      </w:pPr>
      <w:r>
        <w:rPr>
          <w:rFonts w:ascii="Arial" w:cs="Arial" w:eastAsia="Arial" w:hAnsi="Arial"/>
          <w:sz w:val="24"/>
          <w:szCs w:val="24"/>
        </w:rPr>
        <w:t xml:space="preserve">My long-term objective is to lead research at the intersection of machine learning, computational physics, and aerospace materials science, contributing to the next generation of structural and multifunctional aerospace systems. Concretely, I want to develop data-driven and physics-informed modeling frameworks that accelerate the design of advanced aerospace materials, from composite laminates and ceramic matrix composites to the emerging class of lattice-topology metamaterials I am currently studying. The application domains I find most compelling are hypersonic thermal protection, lightweight structural optimization, and the prediction of fatigue and failure in complex loading environments where high-fidelity simulation is prohibitively expensive and experimental campaigns are necessarily sparse.</w:t>
      </w:r>
    </w:p>
    <w:p>
      <w:pPr>
        <w:spacing w:after="160" w:before="0"/>
        <w:jc w:val="both"/>
      </w:pPr>
      <w:r>
        <w:rPr>
          <w:rFonts w:ascii="Arial" w:cs="Arial" w:eastAsia="Arial" w:hAnsi="Arial"/>
          <w:sz w:val="24"/>
          <w:szCs w:val="24"/>
        </w:rPr>
        <w:t xml:space="preserve">MIT AeroAstro is uniquely positioned to support this agenda. The Space Propulsion Laboratory and the Laboratory for Information and Decision Systems offer the computational and experimental infrastructure my research requires, and the department's concentration in Aerospace Computational Engineering gives me a natural intellectual home. I am particularly drawn to the work of Professor Karen Willcox, whose research in data-driven reduced-order modeling and scientific machine learning maps directly onto the methodological questions I am pursuing, and to Professor Mark Drela's tradition of rigorous, first-principles-grounded computational methods. The possibility of collaboration with CSAIL, particularly with groups working on probabilistic machine learning and neural operators, represents an interdisciplinary opportunity that does not exist at comparable depth anywhere else.</w:t>
      </w:r>
    </w:p>
    <w:p>
      <w:pPr>
        <w:spacing w:after="160" w:before="0"/>
        <w:jc w:val="both"/>
      </w:pPr>
      <w:r>
        <w:rPr>
          <w:rFonts w:ascii="Arial" w:cs="Arial" w:eastAsia="Arial" w:hAnsi="Arial"/>
          <w:sz w:val="24"/>
          <w:szCs w:val="24"/>
        </w:rPr>
        <w:t xml:space="preserve">My BS programs in Mechanical Engineering and Applied Mathematics, combined with an Electrical Engineering minor, give me the breadth to engage across these domains. Measure theory and functional analysis inform how I think about the convergence and stability of the numerical methods I build. Structural mechanics and thermodynamics give me the physical intuition to interpret what those methods produce. The minor in electrical engineering has sharpened my understanding of signal processing and systems theory, both directly relevant to sensor fusion and control problems in aerospace applications.</w:t>
      </w:r>
    </w:p>
    <w:p>
      <w:pPr>
        <w:spacing w:after="120" w:before="280"/>
      </w:pPr>
      <w:r>
        <w:rPr>
          <w:rFonts w:ascii="Arial" w:cs="Arial" w:eastAsia="Arial" w:hAnsi="Arial"/>
          <w:b/>
          <w:bCs/>
          <w:sz w:val="26"/>
          <w:szCs w:val="26"/>
        </w:rPr>
        <w:t xml:space="preserve">Personal Background</w:t>
      </w:r>
    </w:p>
    <w:p>
      <w:pPr>
        <w:spacing w:after="160" w:before="0"/>
        <w:jc w:val="both"/>
      </w:pPr>
      <w:r>
        <w:rPr>
          <w:rFonts w:ascii="Arial" w:cs="Arial" w:eastAsia="Arial" w:hAnsi="Arial"/>
          <w:sz w:val="24"/>
          <w:szCs w:val="24"/>
        </w:rPr>
        <w:t xml:space="preserve">I was raised by a single mother, the daughter of immigrants who came to this country with credentials but without context. My parents attended college, which means I am not the first in my family to pursue higher education, but I grew up without the informal knowledge networks that make elite academic and professional pathways navigable: no one in my household had navigated graduate school applications, research fellowships, or competitive internship pipelines. I learned to build those maps myself.</w:t>
      </w:r>
    </w:p>
    <w:p>
      <w:pPr>
        <w:spacing w:after="160" w:before="0"/>
        <w:jc w:val="both"/>
      </w:pPr>
      <w:r>
        <w:rPr>
          <w:rFonts w:ascii="Arial" w:cs="Arial" w:eastAsia="Arial" w:hAnsi="Arial"/>
          <w:sz w:val="24"/>
          <w:szCs w:val="24"/>
        </w:rPr>
        <w:t xml:space="preserve">I do not lead with this background because I think it explains or defines me. I lead with it because it shaped a particular kind of resourcefulness that I believe is genuinely relevant to research: the ability to operate effectively under conditions of uncertainty and constraint, to extract signal from sparse information, and to pursue ambitious goals without the infrastructure that others take for granted. Every research position I have held, I identified and pursued independently. Every fellowship, I found and applied for on my own timeline. That pattern of self-directed navigation is not a response to adversity; it is simply how I have always worked.</w:t>
      </w:r>
    </w:p>
    <w:p>
      <w:pPr>
        <w:spacing w:after="160" w:before="0"/>
        <w:jc w:val="both"/>
      </w:pPr>
      <w:r>
        <w:rPr>
          <w:rFonts w:ascii="Arial" w:cs="Arial" w:eastAsia="Arial" w:hAnsi="Arial"/>
          <w:sz w:val="24"/>
          <w:szCs w:val="24"/>
        </w:rPr>
        <w:t xml:space="preserve">What does drive me is a conviction that rigorous quantitative work, done at the highest level, matters. I have never been satisfied with doing things adequately when doing them excellently was possible. MIT represents, for me, the environment where that standard is shared by everyone in the room, where the expectations are calibrated to what engineering can ultimately achieve rather than what is comfortable to attempt. That is the environment I want to work in, and the one I am prepared to contribute to at the level it demands.</w:t>
      </w:r>
    </w:p>
    <w:p>
      <w:pPr>
        <w:spacing w:after="160" w:before="0"/>
        <w:jc w:val="both"/>
      </w:pPr>
      <w:r>
        <w:rPr>
          <w:rFonts w:ascii="Arial" w:cs="Arial" w:eastAsia="Arial" w:hAnsi="Arial"/>
          <w:sz w:val="24"/>
          <w:szCs w:val="24"/>
        </w:rPr>
        <w:t xml:space="preserve">I am applying to MIT AeroAstro because the problems I want to solve are aerospace problems, the methods I want to develop are computational and data-driven, and the department is where both of those threads reach their highest expression. I am ready to bring the full scope of my technical background, research experience, and drive to that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2026-06-01T16:10:03.027Z</dcterms:created>
  <dcterms:modified xsi:type="dcterms:W3CDTF">2026-06-01T16:10:03.027Z</dcterms:modified>
</cp:coreProperties>
</file>

<file path=docProps/custom.xml><?xml version="1.0" encoding="utf-8"?>
<Properties xmlns="http://schemas.openxmlformats.org/officeDocument/2006/custom-properties" xmlns:vt="http://schemas.openxmlformats.org/officeDocument/2006/docPropsVTypes"/>
</file>