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60"/>
        <w:jc w:val="center"/>
      </w:pPr>
      <w:r>
        <w:rPr>
          <w:b/>
          <w:sz w:val="36"/>
        </w:rPr>
        <w:t>Sentrix/Centrix Meeting</w:t>
      </w:r>
    </w:p>
    <w:p>
      <w:pPr>
        <w:spacing w:after="60"/>
        <w:jc w:val="center"/>
      </w:pPr>
      <w:r>
        <w:rPr>
          <w:i/>
          <w:sz w:val="22"/>
        </w:rPr>
        <w:t>Timestamped Technical Summary</w:t>
      </w:r>
    </w:p>
    <w:p>
      <w:pPr>
        <w:spacing w:after="60"/>
      </w:pPr>
      <w:r>
        <w:rPr>
          <w:b/>
        </w:rPr>
        <w:t xml:space="preserve">Document handling note: </w:t>
      </w:r>
      <w:r>
        <w:t>This is not a verbatim transcript. It is a structured technical-session style summary organized by timestamp flow. It preserves the session’s technical claims, project rationale, domain walkthroughs, tool references, examples and unclear/missing-audio markers.</w:t>
      </w:r>
    </w:p>
    <w:tbl>
      <w:tblPr>
        <w:tblStyle w:val="TableGrid"/>
        <w:tblW w:type="auto" w:w="0"/>
        <w:jc w:val="center"/>
        <w:tblLook w:firstColumn="1" w:firstRow="1" w:lastColumn="0" w:lastRow="0" w:noHBand="0" w:noVBand="1" w:val="04A0"/>
      </w:tblPr>
      <w:tblGrid>
        <w:gridCol w:w="5256"/>
        <w:gridCol w:w="5256"/>
      </w:tblGrid>
      <w:tr>
        <w:tc>
          <w:tcPr>
            <w:tcW w:type="dxa" w:w="5256"/>
            <w:shd w:fill="D9EAF7"/>
            <w:vAlign w:val="center"/>
            <w:tcMar>
              <w:top w:w="80" w:type="dxa"/>
              <w:start w:w="80" w:type="dxa"/>
              <w:bottom w:w="80" w:type="dxa"/>
              <w:end w:w="80" w:type="dxa"/>
            </w:tcMar>
          </w:tcPr>
          <w:p>
            <w:r>
              <w:rPr>
                <w:b/>
                <w:sz w:val="17"/>
              </w:rPr>
              <w:t>Field</w:t>
            </w:r>
          </w:p>
        </w:tc>
        <w:tc>
          <w:tcPr>
            <w:tcW w:type="dxa" w:w="5256"/>
            <w:shd w:fill="D9EAF7"/>
            <w:vAlign w:val="center"/>
            <w:tcMar>
              <w:top w:w="80" w:type="dxa"/>
              <w:start w:w="80" w:type="dxa"/>
              <w:bottom w:w="80" w:type="dxa"/>
              <w:end w:w="80" w:type="dxa"/>
            </w:tcMar>
          </w:tcPr>
          <w:p>
            <w:r>
              <w:rPr>
                <w:b/>
                <w:sz w:val="17"/>
              </w:rPr>
              <w:t>Details</w:t>
            </w:r>
          </w:p>
        </w:tc>
      </w:tr>
      <w:tr>
        <w:tc>
          <w:tcPr>
            <w:tcW w:type="dxa" w:w="5256"/>
            <w:vAlign w:val="top"/>
            <w:tcMar>
              <w:top w:w="80" w:type="dxa"/>
              <w:start w:w="80" w:type="dxa"/>
              <w:bottom w:w="80" w:type="dxa"/>
              <w:end w:w="80" w:type="dxa"/>
            </w:tcMar>
          </w:tcPr>
          <w:p>
            <w:pPr>
              <w:spacing w:after="0"/>
            </w:pPr>
            <w:r>
              <w:rPr>
                <w:sz w:val="16"/>
              </w:rPr>
              <w:t>Session type</w:t>
            </w:r>
          </w:p>
        </w:tc>
        <w:tc>
          <w:tcPr>
            <w:tcW w:type="dxa" w:w="5256"/>
            <w:vAlign w:val="top"/>
            <w:tcMar>
              <w:top w:w="80" w:type="dxa"/>
              <w:start w:w="80" w:type="dxa"/>
              <w:bottom w:w="80" w:type="dxa"/>
              <w:end w:w="80" w:type="dxa"/>
            </w:tcMar>
          </w:tcPr>
          <w:p>
            <w:pPr>
              <w:spacing w:after="0"/>
            </w:pPr>
            <w:r>
              <w:rPr>
                <w:sz w:val="16"/>
              </w:rPr>
              <w:t>Technical/product briefing based on timestamp flow</w:t>
            </w:r>
          </w:p>
        </w:tc>
      </w:tr>
      <w:tr>
        <w:tc>
          <w:tcPr>
            <w:tcW w:type="dxa" w:w="5256"/>
            <w:vAlign w:val="top"/>
            <w:tcMar>
              <w:top w:w="80" w:type="dxa"/>
              <w:start w:w="80" w:type="dxa"/>
              <w:bottom w:w="80" w:type="dxa"/>
              <w:end w:w="80" w:type="dxa"/>
            </w:tcMar>
          </w:tcPr>
          <w:p>
            <w:pPr>
              <w:spacing w:after="0"/>
            </w:pPr>
            <w:r>
              <w:rPr>
                <w:sz w:val="16"/>
              </w:rPr>
              <w:t>Primary topic</w:t>
            </w:r>
          </w:p>
        </w:tc>
        <w:tc>
          <w:tcPr>
            <w:tcW w:type="dxa" w:w="5256"/>
            <w:vAlign w:val="top"/>
            <w:tcMar>
              <w:top w:w="80" w:type="dxa"/>
              <w:start w:w="80" w:type="dxa"/>
              <w:bottom w:w="80" w:type="dxa"/>
              <w:end w:w="80" w:type="dxa"/>
            </w:tcMar>
          </w:tcPr>
          <w:p>
            <w:pPr>
              <w:spacing w:after="0"/>
            </w:pPr>
            <w:r>
              <w:rPr>
                <w:sz w:val="16"/>
              </w:rPr>
              <w:t>Sentrix/Centrix open-source enterprise cybersecurity grid and domain architecture</w:t>
            </w:r>
          </w:p>
        </w:tc>
      </w:tr>
      <w:tr>
        <w:tc>
          <w:tcPr>
            <w:tcW w:type="dxa" w:w="5256"/>
            <w:vAlign w:val="top"/>
            <w:tcMar>
              <w:top w:w="80" w:type="dxa"/>
              <w:start w:w="80" w:type="dxa"/>
              <w:bottom w:w="80" w:type="dxa"/>
              <w:end w:w="80" w:type="dxa"/>
            </w:tcMar>
          </w:tcPr>
          <w:p>
            <w:pPr>
              <w:spacing w:after="0"/>
            </w:pPr>
            <w:r>
              <w:rPr>
                <w:sz w:val="16"/>
              </w:rPr>
              <w:t>Source file</w:t>
            </w:r>
          </w:p>
        </w:tc>
        <w:tc>
          <w:tcPr>
            <w:tcW w:type="dxa" w:w="5256"/>
            <w:vAlign w:val="top"/>
            <w:tcMar>
              <w:top w:w="80" w:type="dxa"/>
              <w:start w:w="80" w:type="dxa"/>
              <w:bottom w:w="80" w:type="dxa"/>
              <w:end w:w="80" w:type="dxa"/>
            </w:tcMar>
          </w:tcPr>
          <w:p>
            <w:pPr>
              <w:spacing w:after="0"/>
            </w:pPr>
            <w:r>
              <w:rPr>
                <w:sz w:val="16"/>
              </w:rPr>
              <w:t>sentrix_meet.txt</w:t>
            </w:r>
          </w:p>
        </w:tc>
      </w:tr>
      <w:tr>
        <w:tc>
          <w:tcPr>
            <w:tcW w:type="dxa" w:w="5256"/>
            <w:vAlign w:val="top"/>
            <w:tcMar>
              <w:top w:w="80" w:type="dxa"/>
              <w:start w:w="80" w:type="dxa"/>
              <w:bottom w:w="80" w:type="dxa"/>
              <w:end w:w="80" w:type="dxa"/>
            </w:tcMar>
          </w:tcPr>
          <w:p>
            <w:pPr>
              <w:spacing w:after="0"/>
            </w:pPr>
            <w:r>
              <w:rPr>
                <w:sz w:val="16"/>
              </w:rPr>
              <w:t>Processing method</w:t>
            </w:r>
          </w:p>
        </w:tc>
        <w:tc>
          <w:tcPr>
            <w:tcW w:type="dxa" w:w="5256"/>
            <w:vAlign w:val="top"/>
            <w:tcMar>
              <w:top w:w="80" w:type="dxa"/>
              <w:start w:w="80" w:type="dxa"/>
              <w:bottom w:w="80" w:type="dxa"/>
              <w:end w:w="80" w:type="dxa"/>
            </w:tcMar>
          </w:tcPr>
          <w:p>
            <w:pPr>
              <w:spacing w:after="0"/>
            </w:pPr>
            <w:r>
              <w:rPr>
                <w:sz w:val="16"/>
              </w:rPr>
              <w:t>Summarized by timestamp blocks; not a verbatim transcript</w:t>
            </w:r>
          </w:p>
        </w:tc>
      </w:tr>
      <w:tr>
        <w:tc>
          <w:tcPr>
            <w:tcW w:type="dxa" w:w="5256"/>
            <w:vAlign w:val="top"/>
            <w:tcMar>
              <w:top w:w="80" w:type="dxa"/>
              <w:start w:w="80" w:type="dxa"/>
              <w:bottom w:w="80" w:type="dxa"/>
              <w:end w:w="80" w:type="dxa"/>
            </w:tcMar>
          </w:tcPr>
          <w:p>
            <w:pPr>
              <w:spacing w:after="0"/>
            </w:pPr>
            <w:r>
              <w:rPr>
                <w:sz w:val="16"/>
              </w:rPr>
              <w:t>Important naming note</w:t>
            </w:r>
          </w:p>
        </w:tc>
        <w:tc>
          <w:tcPr>
            <w:tcW w:type="dxa" w:w="5256"/>
            <w:vAlign w:val="top"/>
            <w:tcMar>
              <w:top w:w="80" w:type="dxa"/>
              <w:start w:w="80" w:type="dxa"/>
              <w:bottom w:w="80" w:type="dxa"/>
              <w:end w:w="80" w:type="dxa"/>
            </w:tcMar>
          </w:tcPr>
          <w:p>
            <w:pPr>
              <w:spacing w:after="0"/>
            </w:pPr>
            <w:r>
              <w:rPr>
                <w:sz w:val="16"/>
              </w:rPr>
              <w:t>The transcript alternates between Sentrix, Centrix, Centric and Centax. This document uses “Sentrix/Centrix” where product naming is ambiguous.</w:t>
            </w:r>
          </w:p>
        </w:tc>
      </w:tr>
    </w:tbl>
    <w:p>
      <w:pPr>
        <w:pStyle w:val="Heading1"/>
        <w:spacing w:before="120" w:after="60"/>
      </w:pPr>
      <w:r>
        <w:t>Session Overview</w:t>
      </w:r>
    </w:p>
    <w:p>
      <w:pPr>
        <w:spacing w:after="60"/>
      </w:pPr>
      <w:r>
        <w:rPr>
          <w:b/>
        </w:rPr>
        <w:t xml:space="preserve">Summary: </w:t>
      </w:r>
      <w:r>
        <w:t>The session introduces Sentrix/Centrix as a large-scale cybersecurity platform intended to unify fragmented security tooling across enterprise domains. The speaker explains the problem from attacker and defender viewpoints, positions AI as an intelligence layer for triage and correlation, outlines the platform’s business value, and then walks through security domains such as perimeter security, SIEM, endpoint security, network security, IAM, cloud security, application security, automation, GRC, backup/recovery and digital forensics.</w:t>
      </w:r>
    </w:p>
    <w:p>
      <w:pPr>
        <w:pStyle w:val="Heading2"/>
        <w:spacing w:before="120" w:after="60"/>
      </w:pPr>
      <w:r>
        <w:t>Session Objectives</w:t>
      </w:r>
    </w:p>
    <w:p>
      <w:pPr>
        <w:pStyle w:val="ListBullet"/>
        <w:spacing w:after="60"/>
      </w:pPr>
      <w:r>
        <w:t>Explain why enterprises struggle with fragmented cybersecurity tooling across many domains.</w:t>
      </w:r>
    </w:p>
    <w:p>
      <w:pPr>
        <w:pStyle w:val="ListBullet"/>
        <w:spacing w:after="60"/>
      </w:pPr>
      <w:r>
        <w:t>Position Sentrix/Centrix as a unified security grid and control plane for open-source and enterprise security tools.</w:t>
      </w:r>
    </w:p>
    <w:p>
      <w:pPr>
        <w:pStyle w:val="ListBullet"/>
        <w:spacing w:after="60"/>
      </w:pPr>
      <w:r>
        <w:t>Describe the planned platform architecture: action, intelligence and aggregation layers.</w:t>
      </w:r>
    </w:p>
    <w:p>
      <w:pPr>
        <w:pStyle w:val="ListBullet"/>
        <w:spacing w:after="60"/>
      </w:pPr>
      <w:r>
        <w:t>Walk through the initial cybersecurity domains, domain responsibilities, expected deliverables and tools.</w:t>
      </w:r>
    </w:p>
    <w:p>
      <w:pPr>
        <w:pStyle w:val="ListBullet"/>
        <w:spacing w:after="60"/>
      </w:pPr>
      <w:r>
        <w:t>Show why each security domain requires significant specialist skill, and why tool consolidation plus AI-assisted analysis is useful.</w:t>
      </w:r>
    </w:p>
    <w:p>
      <w:pPr>
        <w:pStyle w:val="Heading2"/>
        <w:spacing w:before="120" w:after="60"/>
      </w:pPr>
      <w:r>
        <w:t>Key Takeaways</w:t>
      </w:r>
    </w:p>
    <w:p>
      <w:pPr>
        <w:pStyle w:val="ListBullet"/>
        <w:spacing w:after="60"/>
      </w:pPr>
      <w:r>
        <w:t>The platform is intended to reduce fragmentation by integrating many cybersecurity tools into one ecosystem rather than forcing enterprises to replace existing tools.</w:t>
      </w:r>
    </w:p>
    <w:p>
      <w:pPr>
        <w:pStyle w:val="ListBullet"/>
        <w:spacing w:after="60"/>
      </w:pPr>
      <w:r>
        <w:t>The speaker repeatedly frames the problem as a scale and manpower issue: security teams have too many isolated dashboards, too many alerts and too much manual analysis.</w:t>
      </w:r>
    </w:p>
    <w:p>
      <w:pPr>
        <w:pStyle w:val="ListBullet"/>
        <w:spacing w:after="60"/>
      </w:pPr>
      <w:r>
        <w:t>AI is presented as the intelligence layer that can triage logs, inspect suspicious activity and reduce analyst workload, while humans remain responsible for high-impact cases.</w:t>
      </w:r>
    </w:p>
    <w:p>
      <w:pPr>
        <w:pStyle w:val="ListBullet"/>
        <w:spacing w:after="60"/>
      </w:pPr>
      <w:r>
        <w:t>The project is described as open-source-first, vendor-agnostic, automation-native and compliance-aware.</w:t>
      </w:r>
    </w:p>
    <w:p>
      <w:pPr>
        <w:pStyle w:val="ListBullet"/>
        <w:spacing w:after="60"/>
      </w:pPr>
      <w:r>
        <w:t>The system currently supports roughly 150 tools, is planned to expand to 2,000+ tools, and is mapped across 19 domains, 178 subdomains and about 15 tools per subdomain.</w:t>
      </w:r>
    </w:p>
    <w:p>
      <w:pPr>
        <w:pStyle w:val="ListBullet"/>
        <w:spacing w:after="60"/>
      </w:pPr>
      <w:r>
        <w:t>The speaker emphasizes that even a single domain such as perimeter security requires knowledge of networking, firewalls, WAFs, IDS/IPS, SIEM/logging, red-team tooling and documentation.</w:t>
      </w:r>
    </w:p>
    <w:p>
      <w:pPr>
        <w:pStyle w:val="Heading1"/>
        <w:spacing w:before="120" w:after="60"/>
      </w:pPr>
      <w:r>
        <w:t>Cut &amp; Continued Audio</w:t>
      </w:r>
    </w:p>
    <w:p>
      <w:pPr>
        <w:spacing w:after="60"/>
      </w:pPr>
      <w:r>
        <w:rPr>
          <w:b/>
        </w:rPr>
        <w:t xml:space="preserve">Dedicated continuity note: </w:t>
      </w:r>
      <w:r>
        <w:t>The source transcript contains long mute/break sections. These are preserved as explicit continuity markers below and again in the timestamped summary.</w:t>
      </w:r>
    </w:p>
    <w:tbl>
      <w:tblPr>
        <w:tblStyle w:val="TableGrid"/>
        <w:tblW w:type="auto" w:w="0"/>
        <w:jc w:val="center"/>
        <w:tblLook w:firstColumn="1" w:firstRow="1" w:lastColumn="0" w:lastRow="0" w:noHBand="0" w:noVBand="1" w:val="04A0"/>
      </w:tblPr>
      <w:tblGrid>
        <w:gridCol w:w="5256"/>
        <w:gridCol w:w="5256"/>
      </w:tblGrid>
      <w:tr>
        <w:tc>
          <w:tcPr>
            <w:tcW w:type="dxa" w:w="5256"/>
            <w:shd w:fill="D9EAF7"/>
            <w:vAlign w:val="center"/>
            <w:tcMar>
              <w:top w:w="80" w:type="dxa"/>
              <w:start w:w="80" w:type="dxa"/>
              <w:bottom w:w="80" w:type="dxa"/>
              <w:end w:w="80" w:type="dxa"/>
            </w:tcMar>
          </w:tcPr>
          <w:p>
            <w:r>
              <w:rPr>
                <w:b/>
                <w:sz w:val="17"/>
              </w:rPr>
              <w:t>Time range</w:t>
            </w:r>
          </w:p>
        </w:tc>
        <w:tc>
          <w:tcPr>
            <w:tcW w:type="dxa" w:w="5256"/>
            <w:shd w:fill="D9EAF7"/>
            <w:vAlign w:val="center"/>
            <w:tcMar>
              <w:top w:w="80" w:type="dxa"/>
              <w:start w:w="80" w:type="dxa"/>
              <w:bottom w:w="80" w:type="dxa"/>
              <w:end w:w="80" w:type="dxa"/>
            </w:tcMar>
          </w:tcPr>
          <w:p>
            <w:r>
              <w:rPr>
                <w:b/>
                <w:sz w:val="17"/>
              </w:rPr>
              <w:t>Continuity issue</w:t>
            </w:r>
          </w:p>
        </w:tc>
      </w:tr>
      <w:tr>
        <w:tc>
          <w:tcPr>
            <w:tcW w:type="dxa" w:w="5256"/>
            <w:vAlign w:val="top"/>
            <w:tcMar>
              <w:top w:w="80" w:type="dxa"/>
              <w:start w:w="80" w:type="dxa"/>
              <w:bottom w:w="80" w:type="dxa"/>
              <w:end w:w="80" w:type="dxa"/>
            </w:tcMar>
          </w:tcPr>
          <w:p>
            <w:pPr>
              <w:spacing w:after="0"/>
            </w:pPr>
            <w:r>
              <w:rPr>
                <w:sz w:val="16"/>
              </w:rPr>
              <w:t>10:57-23:34</w:t>
            </w:r>
          </w:p>
        </w:tc>
        <w:tc>
          <w:tcPr>
            <w:tcW w:type="dxa" w:w="5256"/>
            <w:vAlign w:val="top"/>
            <w:tcMar>
              <w:top w:w="80" w:type="dxa"/>
              <w:start w:w="80" w:type="dxa"/>
              <w:bottom w:w="80" w:type="dxa"/>
              <w:end w:w="80" w:type="dxa"/>
            </w:tcMar>
          </w:tcPr>
          <w:p>
            <w:pPr>
              <w:spacing w:after="0"/>
            </w:pPr>
            <w:r>
              <w:rPr>
                <w:sz w:val="16"/>
              </w:rPr>
              <w:t>Long mute / missing-audio section. The transcript shows “Hi Sorry,” then jumps to people saying the speaker is on mute.</w:t>
            </w:r>
          </w:p>
        </w:tc>
      </w:tr>
      <w:tr>
        <w:tc>
          <w:tcPr>
            <w:tcW w:type="dxa" w:w="5256"/>
            <w:vAlign w:val="top"/>
            <w:tcMar>
              <w:top w:w="80" w:type="dxa"/>
              <w:start w:w="80" w:type="dxa"/>
              <w:bottom w:w="80" w:type="dxa"/>
              <w:end w:w="80" w:type="dxa"/>
            </w:tcMar>
          </w:tcPr>
          <w:p>
            <w:pPr>
              <w:spacing w:after="0"/>
            </w:pPr>
            <w:r>
              <w:rPr>
                <w:sz w:val="16"/>
              </w:rPr>
              <w:t>30:15-57:35</w:t>
            </w:r>
          </w:p>
        </w:tc>
        <w:tc>
          <w:tcPr>
            <w:tcW w:type="dxa" w:w="5256"/>
            <w:vAlign w:val="top"/>
            <w:tcMar>
              <w:top w:w="80" w:type="dxa"/>
              <w:start w:w="80" w:type="dxa"/>
              <w:bottom w:w="80" w:type="dxa"/>
              <w:end w:w="80" w:type="dxa"/>
            </w:tcMar>
          </w:tcPr>
          <w:p>
            <w:pPr>
              <w:spacing w:after="0"/>
            </w:pPr>
            <w:r>
              <w:rPr>
                <w:sz w:val="16"/>
              </w:rPr>
              <w:t>Break and long missing-audio section. The transcript resumes with participants saying they still cannot hear the speaker, followed by “Am I audible now?”</w:t>
            </w:r>
          </w:p>
        </w:tc>
      </w:tr>
      <w:tr>
        <w:tc>
          <w:tcPr>
            <w:tcW w:type="dxa" w:w="5256"/>
            <w:vAlign w:val="top"/>
            <w:tcMar>
              <w:top w:w="80" w:type="dxa"/>
              <w:start w:w="80" w:type="dxa"/>
              <w:bottom w:w="80" w:type="dxa"/>
              <w:end w:w="80" w:type="dxa"/>
            </w:tcMar>
          </w:tcPr>
          <w:p>
            <w:pPr>
              <w:spacing w:after="0"/>
            </w:pPr>
            <w:r>
              <w:rPr>
                <w:sz w:val="16"/>
              </w:rPr>
              <w:t>1:14:14-1:16:12</w:t>
            </w:r>
          </w:p>
        </w:tc>
        <w:tc>
          <w:tcPr>
            <w:tcW w:type="dxa" w:w="5256"/>
            <w:vAlign w:val="top"/>
            <w:tcMar>
              <w:top w:w="80" w:type="dxa"/>
              <w:start w:w="80" w:type="dxa"/>
              <w:bottom w:w="80" w:type="dxa"/>
              <w:end w:w="80" w:type="dxa"/>
            </w:tcMar>
          </w:tcPr>
          <w:p>
            <w:pPr>
              <w:spacing w:after="0"/>
            </w:pPr>
            <w:r>
              <w:rPr>
                <w:sz w:val="16"/>
              </w:rPr>
              <w:t>Question period is mostly silent or not captured. A question about whether a prototype/MVP exists is partially captured.</w:t>
            </w:r>
          </w:p>
        </w:tc>
      </w:tr>
      <w:tr>
        <w:tc>
          <w:tcPr>
            <w:tcW w:type="dxa" w:w="5256"/>
            <w:vAlign w:val="top"/>
            <w:tcMar>
              <w:top w:w="80" w:type="dxa"/>
              <w:start w:w="80" w:type="dxa"/>
              <w:bottom w:w="80" w:type="dxa"/>
              <w:end w:w="80" w:type="dxa"/>
            </w:tcMar>
          </w:tcPr>
          <w:p>
            <w:pPr>
              <w:spacing w:after="0"/>
            </w:pPr>
            <w:r>
              <w:rPr>
                <w:sz w:val="16"/>
              </w:rPr>
              <w:t>1:16:28-1:17:43</w:t>
            </w:r>
          </w:p>
        </w:tc>
        <w:tc>
          <w:tcPr>
            <w:tcW w:type="dxa" w:w="5256"/>
            <w:vAlign w:val="top"/>
            <w:tcMar>
              <w:top w:w="80" w:type="dxa"/>
              <w:start w:w="80" w:type="dxa"/>
              <w:bottom w:w="80" w:type="dxa"/>
              <w:end w:w="80" w:type="dxa"/>
            </w:tcMar>
          </w:tcPr>
          <w:p>
            <w:pPr>
              <w:spacing w:after="0"/>
            </w:pPr>
            <w:r>
              <w:rPr>
                <w:sz w:val="16"/>
              </w:rPr>
              <w:t>Transition gap while moving into domain brief / deep dive.</w:t>
            </w:r>
          </w:p>
        </w:tc>
      </w:tr>
    </w:tbl>
    <w:p>
      <w:pPr>
        <w:pStyle w:val="Heading1"/>
        <w:spacing w:before="120" w:after="60"/>
      </w:pPr>
      <w:r>
        <w:t>Timestamped Technical Summary</w:t>
      </w:r>
    </w:p>
    <w:p>
      <w:pPr>
        <w:pStyle w:val="Heading2"/>
        <w:spacing w:before="120" w:after="60"/>
      </w:pPr>
      <w:r>
        <w:t>0:02-0:41 - Opening and screen-share setup</w:t>
      </w:r>
    </w:p>
    <w:p>
      <w:pPr>
        <w:spacing w:after="60"/>
      </w:pPr>
      <w:r>
        <w:rPr>
          <w:b/>
        </w:rPr>
        <w:t xml:space="preserve">Summary: </w:t>
      </w:r>
      <w:r>
        <w:t>The speaker starts presenting and confirms whether the screen is visible. Once participants confirm, the speaker begins setting context for the Sentrix/Centrix project.</w:t>
      </w:r>
    </w:p>
    <w:p>
      <w:pPr>
        <w:pStyle w:val="Heading3"/>
        <w:spacing w:before="120" w:after="60"/>
      </w:pPr>
      <w:r>
        <w:t>Detailed notes</w:t>
      </w:r>
    </w:p>
    <w:p>
      <w:pPr>
        <w:pStyle w:val="ListBullet"/>
        <w:spacing w:after="60"/>
      </w:pPr>
      <w:r>
        <w:t>The session begins informally with “go through it and ask it,” then the presenter shares the screen.</w:t>
      </w:r>
    </w:p>
    <w:p>
      <w:pPr>
        <w:pStyle w:val="ListBullet"/>
        <w:spacing w:after="60"/>
      </w:pPr>
      <w:r>
        <w:t>There is a short audio/visibility check before the technical context begins.</w:t>
      </w:r>
    </w:p>
    <w:p>
      <w:pPr>
        <w:pStyle w:val="Heading2"/>
        <w:spacing w:before="120" w:after="60"/>
      </w:pPr>
      <w:r>
        <w:t>0:41-1:59 - Attacker perspective: how enterprise attacks begin</w:t>
      </w:r>
    </w:p>
    <w:p>
      <w:pPr>
        <w:spacing w:after="60"/>
      </w:pPr>
      <w:r>
        <w:rPr>
          <w:b/>
        </w:rPr>
        <w:t xml:space="preserve">Summary: </w:t>
      </w:r>
      <w:r>
        <w:t>The speaker explains the project by first describing how an attacker thinks. The attack path starts with reconnaissance and can move into social engineering, credential theft, phishing and denial-of-service activity.</w:t>
      </w:r>
    </w:p>
    <w:p>
      <w:pPr>
        <w:pStyle w:val="Heading3"/>
        <w:spacing w:before="120" w:after="60"/>
      </w:pPr>
      <w:r>
        <w:t>Detailed notes</w:t>
      </w:r>
    </w:p>
    <w:p>
      <w:pPr>
        <w:pStyle w:val="ListBullet"/>
        <w:spacing w:after="60"/>
      </w:pPr>
      <w:r>
        <w:t>A hacker first scouts public internet information about the target company, its systems, architecture, products and exposed network characteristics.</w:t>
      </w:r>
    </w:p>
    <w:p>
      <w:pPr>
        <w:pStyle w:val="ListBullet"/>
        <w:spacing w:after="60"/>
      </w:pPr>
      <w:r>
        <w:t>The attacker may perform network analysis and social engineering to collect useful information or gain access to employee credentials.</w:t>
      </w:r>
    </w:p>
    <w:p>
      <w:pPr>
        <w:pStyle w:val="ListBullet"/>
        <w:spacing w:after="60"/>
      </w:pPr>
      <w:r>
        <w:t>Phishing is highlighted: attackers can email malicious links to employees and try to compromise them through their inboxes.</w:t>
      </w:r>
    </w:p>
    <w:p>
      <w:pPr>
        <w:pStyle w:val="ListBullet"/>
        <w:spacing w:after="60"/>
      </w:pPr>
      <w:r>
        <w:t>The speaker also uses the example of a botnet-based attack, where a botnet could overload routers with more packets than they can handle.</w:t>
      </w:r>
    </w:p>
    <w:p>
      <w:pPr>
        <w:spacing w:after="60"/>
      </w:pPr>
      <w:r>
        <w:rPr>
          <w:b/>
        </w:rPr>
        <w:t xml:space="preserve">Technical terms/tools referenced: </w:t>
      </w:r>
      <w:r>
        <w:t>Reconnaissance; Network analysis; Social engineering; Phishing; Credential compromise; Botnet / DoS-style packet overload.</w:t>
      </w:r>
    </w:p>
    <w:p>
      <w:pPr>
        <w:pStyle w:val="Heading2"/>
        <w:spacing w:before="120" w:after="60"/>
      </w:pPr>
      <w:r>
        <w:t>1:59-3:54 - Defender perspective: endpoint, email, supply-chain and network risk</w:t>
      </w:r>
    </w:p>
    <w:p>
      <w:pPr>
        <w:spacing w:after="60"/>
      </w:pPr>
      <w:r>
        <w:rPr>
          <w:b/>
        </w:rPr>
        <w:t xml:space="preserve">Summary: </w:t>
      </w:r>
      <w:r>
        <w:t>The speaker shifts to the enterprise defense perspective, explaining that companies must defend against attacks across endpoint devices, email, developer software, supply-chain packages, network attacks and IAM/password abuse.</w:t>
      </w:r>
    </w:p>
    <w:p>
      <w:pPr>
        <w:pStyle w:val="Heading3"/>
        <w:spacing w:before="120" w:after="60"/>
      </w:pPr>
      <w:r>
        <w:t>Detailed notes</w:t>
      </w:r>
    </w:p>
    <w:p>
      <w:pPr>
        <w:pStyle w:val="ListBullet"/>
        <w:spacing w:after="60"/>
      </w:pPr>
      <w:r>
        <w:t>Endpoint security includes employee laptops, developer workstations and server systems that may receive malicious emails or software.</w:t>
      </w:r>
    </w:p>
    <w:p>
      <w:pPr>
        <w:pStyle w:val="ListBullet"/>
        <w:spacing w:after="60"/>
      </w:pPr>
      <w:r>
        <w:t>The speaker notes that network administrators cannot manually inspect every software installation, and attackers increasingly mask malware inside apparently legitimate products.</w:t>
      </w:r>
    </w:p>
    <w:p>
      <w:pPr>
        <w:pStyle w:val="ListBullet"/>
        <w:spacing w:after="60"/>
      </w:pPr>
      <w:r>
        <w:t>A supply-chain incident is described using an npm example: a developer credential was compromised through a phishing email, which then allowed attackers to inject malicious JavaScript into packages.</w:t>
      </w:r>
    </w:p>
    <w:p>
      <w:pPr>
        <w:pStyle w:val="ListBullet"/>
        <w:spacing w:after="60"/>
      </w:pPr>
      <w:r>
        <w:t>The malicious JavaScript is described as looking authentic, executing its attack and then self-destructing to reduce visibility.</w:t>
      </w:r>
    </w:p>
    <w:p>
      <w:pPr>
        <w:pStyle w:val="ListBullet"/>
        <w:spacing w:after="60"/>
      </w:pPr>
      <w:r>
        <w:t>Other examples include DoS attacks and IAM/password attacks such as repeated password attempts or brute-force-style activity.</w:t>
      </w:r>
    </w:p>
    <w:p>
      <w:pPr>
        <w:spacing w:after="60"/>
      </w:pPr>
      <w:r>
        <w:rPr>
          <w:b/>
        </w:rPr>
        <w:t xml:space="preserve">Technical terms/tools referenced: </w:t>
      </w:r>
      <w:r>
        <w:t>Endpoint security; Email spam/malware detection; npm supply-chain compromise; Malicious JavaScript injection; Self-destructing payloads; DoS; IAM/password attack patterns.</w:t>
      </w:r>
    </w:p>
    <w:p>
      <w:pPr>
        <w:pStyle w:val="Heading2"/>
        <w:spacing w:before="120" w:after="60"/>
      </w:pPr>
      <w:r>
        <w:t>3:54-6:43 - Problem statement and original Sentrix/Centrix vision</w:t>
      </w:r>
    </w:p>
    <w:p>
      <w:pPr>
        <w:spacing w:after="60"/>
      </w:pPr>
      <w:r>
        <w:rPr>
          <w:b/>
        </w:rPr>
        <w:t xml:space="preserve">Summary: </w:t>
      </w:r>
      <w:r>
        <w:t>The core problem is fragmented security tooling. The speaker says there are thousands of tools across many domains, forcing enterprises to manage scattered dashboards, manual analysis and high manpower requirements. Sentrix/Centrix is introduced as an open-source enterprise security grid intended to unify these tools with AI-assisted intelligence.</w:t>
      </w:r>
    </w:p>
    <w:p>
      <w:pPr>
        <w:pStyle w:val="Heading3"/>
        <w:spacing w:before="120" w:after="60"/>
      </w:pPr>
      <w:r>
        <w:t>Detailed notes</w:t>
      </w:r>
    </w:p>
    <w:p>
      <w:pPr>
        <w:pStyle w:val="ListBullet"/>
        <w:spacing w:after="60"/>
      </w:pPr>
      <w:r>
        <w:t>The speaker states that cybersecurity tools are scattered across “10,000 plus tools” and “20 plus domains.”</w:t>
      </w:r>
    </w:p>
    <w:p>
      <w:pPr>
        <w:pStyle w:val="ListBullet"/>
        <w:spacing w:after="60"/>
      </w:pPr>
      <w:r>
        <w:t>Existing dashboards often cover only one area, such as IAM, network security, application security or pipeline security.</w:t>
      </w:r>
    </w:p>
    <w:p>
      <w:pPr>
        <w:pStyle w:val="ListBullet"/>
        <w:spacing w:after="60"/>
      </w:pPr>
      <w:r>
        <w:t>This fragmentation creates significant overhead for enterprise cybersecurity teams.</w:t>
      </w:r>
    </w:p>
    <w:p>
      <w:pPr>
        <w:pStyle w:val="ListBullet"/>
        <w:spacing w:after="60"/>
      </w:pPr>
      <w:r>
        <w:t>Sentrix/Centrix is introduced as an open-source enterprise security grid intended to provide one ecosystem for managing tools across domains.</w:t>
      </w:r>
    </w:p>
    <w:p>
      <w:pPr>
        <w:pStyle w:val="ListBullet"/>
        <w:spacing w:after="60"/>
      </w:pPr>
      <w:r>
        <w:t>AI is positioned as an intelligence layer beyond simple algorithmic rules. For example, a basic rule can alert on packet-volume thresholds, but AI can help decide whether packet content or packet behavior is actually suspicious.</w:t>
      </w:r>
    </w:p>
    <w:p>
      <w:pPr>
        <w:pStyle w:val="ListBullet"/>
        <w:spacing w:after="60"/>
      </w:pPr>
      <w:r>
        <w:t>The speaker states the current system supports roughly 150 tools and the goal is to expand to 2,000+ tools within the next 3-4 months.</w:t>
      </w:r>
    </w:p>
    <w:p>
      <w:pPr>
        <w:pStyle w:val="ListBullet"/>
        <w:spacing w:after="60"/>
      </w:pPr>
      <w:r>
        <w:t>The broader vision is a full-stack cybersecurity solution for a model enterprise, integrating open-source and closed-source enterprise tools across perimeter, endpoint, application, network, cloud, identity, compliance and SOC operations.</w:t>
      </w:r>
    </w:p>
    <w:p>
      <w:pPr>
        <w:spacing w:after="60"/>
      </w:pPr>
      <w:r>
        <w:rPr>
          <w:b/>
        </w:rPr>
        <w:t xml:space="preserve">Technical terms/tools referenced: </w:t>
      </w:r>
      <w:r>
        <w:t>Security tool fragmentation; AI-assisted packet/log analysis; Open-source enterprise security grid; Full-stack cybersecurity platform; SOC ecosystem; 150+ tools currently supported; 2,000+ tool target.</w:t>
      </w:r>
    </w:p>
    <w:p>
      <w:pPr>
        <w:pStyle w:val="Heading2"/>
        <w:spacing w:before="120" w:after="60"/>
      </w:pPr>
      <w:r>
        <w:t>6:54-7:31 - Team structure and integration approach</w:t>
      </w:r>
    </w:p>
    <w:p>
      <w:pPr>
        <w:spacing w:after="60"/>
      </w:pPr>
      <w:r>
        <w:rPr>
          <w:b/>
        </w:rPr>
        <w:t xml:space="preserve">Summary: </w:t>
      </w:r>
      <w:r>
        <w:t>The project is organized by sub-teams. Each component/domain is assigned responsibilities, while a central integration team coordinates development, integration and interoperability testing.</w:t>
      </w:r>
    </w:p>
    <w:p>
      <w:pPr>
        <w:pStyle w:val="Heading3"/>
        <w:spacing w:before="120" w:after="60"/>
      </w:pPr>
      <w:r>
        <w:t>Detailed notes</w:t>
      </w:r>
    </w:p>
    <w:p>
      <w:pPr>
        <w:pStyle w:val="ListBullet"/>
        <w:spacing w:after="60"/>
      </w:pPr>
      <w:r>
        <w:t>The speaker emphasizes that the project cannot be built by blindly integrating everything at once.</w:t>
      </w:r>
    </w:p>
    <w:p>
      <w:pPr>
        <w:pStyle w:val="ListBullet"/>
        <w:spacing w:after="60"/>
      </w:pPr>
      <w:r>
        <w:t>The initial approach is to divide the system into domains and build them separately before connecting them.</w:t>
      </w:r>
    </w:p>
    <w:p>
      <w:pPr>
        <w:pStyle w:val="ListBullet"/>
        <w:spacing w:after="60"/>
      </w:pPr>
      <w:r>
        <w:t>A central coordination/integration team is responsible for overall integration, development coordination and interoperability testing.</w:t>
      </w:r>
    </w:p>
    <w:p>
      <w:pPr>
        <w:spacing w:after="60"/>
      </w:pPr>
      <w:r>
        <w:rPr>
          <w:b/>
        </w:rPr>
        <w:t xml:space="preserve">Technical terms/tools referenced: </w:t>
      </w:r>
      <w:r>
        <w:t>Domain-based architecture; Sub-team ownership; Central integration team; Interoperability testing.</w:t>
      </w:r>
    </w:p>
    <w:p>
      <w:pPr>
        <w:pStyle w:val="Heading2"/>
        <w:spacing w:before="120" w:after="60"/>
      </w:pPr>
      <w:r>
        <w:t>7:45-9:18 - Initial domain overview: perimeter security</w:t>
      </w:r>
    </w:p>
    <w:p>
      <w:pPr>
        <w:spacing w:after="60"/>
      </w:pPr>
      <w:r>
        <w:rPr>
          <w:b/>
        </w:rPr>
        <w:t xml:space="preserve">Summary: </w:t>
      </w:r>
      <w:r>
        <w:t>Perimeter security is presented as the first defensive layer. Its objective is to prevent unauthorized access at the enterprise boundary using firewalls, web application firewalls, IDS/IPS and simulated attack validation.</w:t>
      </w:r>
    </w:p>
    <w:p>
      <w:pPr>
        <w:pStyle w:val="Heading3"/>
        <w:spacing w:before="120" w:after="60"/>
      </w:pPr>
      <w:r>
        <w:t>Detailed notes</w:t>
      </w:r>
    </w:p>
    <w:p>
      <w:pPr>
        <w:pStyle w:val="ListBullet"/>
        <w:spacing w:after="60"/>
      </w:pPr>
      <w:r>
        <w:t>The objective is to prevent unauthorized access at the domain/network boundary.</w:t>
      </w:r>
    </w:p>
    <w:p>
      <w:pPr>
        <w:pStyle w:val="ListBullet"/>
        <w:spacing w:after="60"/>
      </w:pPr>
      <w:r>
        <w:t>The network is described as the first layer where packets or external connection attempts reach the enterprise environment.</w:t>
      </w:r>
    </w:p>
    <w:p>
      <w:pPr>
        <w:pStyle w:val="ListBullet"/>
        <w:spacing w:after="60"/>
      </w:pPr>
      <w:r>
        <w:t>Student/team responsibilities include setting up firewalls, configuring traffic rules, deploying defense simulations and integrating those defenses into Sentrix/Centrix.</w:t>
      </w:r>
    </w:p>
    <w:p>
      <w:pPr>
        <w:pStyle w:val="ListBullet"/>
        <w:spacing w:after="60"/>
      </w:pPr>
      <w:r>
        <w:t>A web application firewall is deployed on a VM and attacks are simulated to verify defense effectiveness.</w:t>
      </w:r>
    </w:p>
    <w:p>
      <w:pPr>
        <w:pStyle w:val="ListBullet"/>
        <w:spacing w:after="60"/>
      </w:pPr>
      <w:r>
        <w:t>Open-source tools identified include pfSense, ModSecurity and Suricata/Snort.</w:t>
      </w:r>
    </w:p>
    <w:p>
      <w:pPr>
        <w:pStyle w:val="ListBullet"/>
        <w:spacing w:after="60"/>
      </w:pPr>
      <w:r>
        <w:t>Expected outputs include a functional firewall, WAF with sample rules and IDS/IPS alerts for simulated intrusions such as port scans, SQL injection and brute-force attempts.</w:t>
      </w:r>
    </w:p>
    <w:p>
      <w:pPr>
        <w:spacing w:after="60"/>
      </w:pPr>
      <w:r>
        <w:rPr>
          <w:b/>
        </w:rPr>
        <w:t xml:space="preserve">Technical terms/tools referenced: </w:t>
      </w:r>
      <w:r>
        <w:t>pfSense; ModSecurity; Suricata / Snort; Web Application Firewall; IDS/IPS; Port scanning; SQL injection simulation; Brute-force simulation.</w:t>
      </w:r>
    </w:p>
    <w:p>
      <w:pPr>
        <w:pStyle w:val="Heading2"/>
        <w:spacing w:before="120" w:after="60"/>
      </w:pPr>
      <w:r>
        <w:t>9:44-10:57 - Threat detection and SIEM overview</w:t>
      </w:r>
    </w:p>
    <w:p>
      <w:pPr>
        <w:spacing w:after="60"/>
      </w:pPr>
      <w:r>
        <w:rPr>
          <w:b/>
        </w:rPr>
        <w:t xml:space="preserve">Summary: </w:t>
      </w:r>
      <w:r>
        <w:t>The next domain is threat detection and SIEM. It collects, analyzes and correlates security events in real time by aggregating logs from servers, applications and endpoints.</w:t>
      </w:r>
    </w:p>
    <w:p>
      <w:pPr>
        <w:pStyle w:val="Heading3"/>
        <w:spacing w:before="120" w:after="60"/>
      </w:pPr>
      <w:r>
        <w:t>Detailed notes</w:t>
      </w:r>
    </w:p>
    <w:p>
      <w:pPr>
        <w:pStyle w:val="ListBullet"/>
        <w:spacing w:after="60"/>
      </w:pPr>
      <w:r>
        <w:t>The speaker describes real-time collection, analysis and correlation of security events.</w:t>
      </w:r>
    </w:p>
    <w:p>
      <w:pPr>
        <w:pStyle w:val="ListBullet"/>
        <w:spacing w:after="60"/>
      </w:pPr>
      <w:r>
        <w:t>Logs are aggregated from servers, applications and endpoints into dashboards.</w:t>
      </w:r>
    </w:p>
    <w:p>
      <w:pPr>
        <w:pStyle w:val="ListBullet"/>
        <w:spacing w:after="60"/>
      </w:pPr>
      <w:r>
        <w:t>Correlation rules trigger alerts when expected behavior fails or suspicious behavior appears.</w:t>
      </w:r>
    </w:p>
    <w:p>
      <w:pPr>
        <w:pStyle w:val="ListBullet"/>
        <w:spacing w:after="60"/>
      </w:pPr>
      <w:r>
        <w:t>Examples include service-down alerts, failed-service alerts or suspicious event patterns.</w:t>
      </w:r>
    </w:p>
    <w:p>
      <w:pPr>
        <w:pStyle w:val="ListBullet"/>
        <w:spacing w:after="60"/>
      </w:pPr>
      <w:r>
        <w:t>Tools mentioned include Wazuh/Vazu, ELK Stack and MISP. ELK is broken down as Elasticsearch, Logstash and Kibana.</w:t>
      </w:r>
    </w:p>
    <w:p>
      <w:pPr>
        <w:pStyle w:val="ListBullet"/>
        <w:spacing w:after="60"/>
      </w:pPr>
      <w:r>
        <w:t>ELK is described as useful for large-scale log search and analysis, handling millions of log lines and making searches time efficient.</w:t>
      </w:r>
    </w:p>
    <w:p>
      <w:pPr>
        <w:spacing w:after="60"/>
      </w:pPr>
      <w:r>
        <w:rPr>
          <w:b/>
        </w:rPr>
        <w:t xml:space="preserve">Technical terms/tools referenced: </w:t>
      </w:r>
      <w:r>
        <w:t>SIEM; Log aggregation; Correlation rules; Wazuh/Vazu; ELK Stack; Elasticsearch; Logstash; Kibana; MISP threat intelligence.</w:t>
      </w:r>
    </w:p>
    <w:p>
      <w:pPr>
        <w:pStyle w:val="Heading2"/>
        <w:spacing w:before="120" w:after="60"/>
      </w:pPr>
      <w:r>
        <w:t>10:57-23:34 - Cut &amp; continued audio: long mute / missing section</w:t>
      </w:r>
    </w:p>
    <w:p>
      <w:pPr>
        <w:spacing w:after="60"/>
      </w:pPr>
      <w:r>
        <w:rPr>
          <w:b/>
        </w:rPr>
        <w:t xml:space="preserve">Summary: </w:t>
      </w:r>
      <w:r>
        <w:t>The transcript contains a long missing or muted segment. Participants later indicate that the speaker is on mute and cannot be heard.</w:t>
      </w:r>
    </w:p>
    <w:p>
      <w:pPr>
        <w:pStyle w:val="Heading3"/>
        <w:spacing w:before="120" w:after="60"/>
      </w:pPr>
      <w:r>
        <w:t>Detailed notes</w:t>
      </w:r>
    </w:p>
    <w:p>
      <w:pPr>
        <w:pStyle w:val="ListBullet"/>
        <w:spacing w:after="60"/>
      </w:pPr>
      <w:r>
        <w:t>Marked as Cut &amp; continued audio. Content during this span is not reliable enough to reconstruct.</w:t>
      </w:r>
    </w:p>
    <w:p>
      <w:pPr>
        <w:pStyle w:val="Heading2"/>
        <w:spacing w:before="120" w:after="60"/>
      </w:pPr>
      <w:r>
        <w:t>23:34-28:46 - Continuation: endpoint, network, IAM and project scale</w:t>
      </w:r>
    </w:p>
    <w:p>
      <w:pPr>
        <w:spacing w:after="60"/>
      </w:pPr>
      <w:r>
        <w:rPr>
          <w:b/>
        </w:rPr>
        <w:t xml:space="preserve">Summary: </w:t>
      </w:r>
      <w:r>
        <w:t>After the mute gap, the speaker resumes and quickly covers endpoint security, network security, IAM and the overall scale of the Sentrix/Centrix ecosystem.</w:t>
      </w:r>
    </w:p>
    <w:p>
      <w:pPr>
        <w:pStyle w:val="Heading3"/>
        <w:spacing w:before="120" w:after="60"/>
      </w:pPr>
      <w:r>
        <w:t>Detailed notes</w:t>
      </w:r>
    </w:p>
    <w:p>
      <w:pPr>
        <w:pStyle w:val="ListBullet"/>
        <w:spacing w:after="60"/>
      </w:pPr>
      <w:r>
        <w:t>Endpoint security covers employee workstations, laptops and company servers.</w:t>
      </w:r>
    </w:p>
    <w:p>
      <w:pPr>
        <w:pStyle w:val="ListBullet"/>
        <w:spacing w:after="60"/>
      </w:pPr>
      <w:r>
        <w:t>Key activities include vulnerability scans, runtime policy enforcement and malicious-file-download simulation to test whether endpoint agents work correctly.</w:t>
      </w:r>
    </w:p>
    <w:p>
      <w:pPr>
        <w:pStyle w:val="ListBullet"/>
        <w:spacing w:after="60"/>
      </w:pPr>
      <w:r>
        <w:t>Tools mentioned include ClamAV/CLAM, osquery and Wazuh/Vazu agents.</w:t>
      </w:r>
    </w:p>
    <w:p>
      <w:pPr>
        <w:pStyle w:val="ListBullet"/>
        <w:spacing w:after="60"/>
      </w:pPr>
      <w:r>
        <w:t>The speaker clarifies that the project is not rebuilding every cybersecurity feature from scratch. Instead, it is building a platform that can manage existing tools from one place.</w:t>
      </w:r>
    </w:p>
    <w:p>
      <w:pPr>
        <w:pStyle w:val="ListBullet"/>
        <w:spacing w:after="60"/>
      </w:pPr>
      <w:r>
        <w:t>The Centrix/Sentrix agent is described as an internally built integration component that runs on systems, controls endpoint-security tools and sends control/visibility to the backend.</w:t>
      </w:r>
    </w:p>
    <w:p>
      <w:pPr>
        <w:pStyle w:val="ListBullet"/>
        <w:spacing w:after="60"/>
      </w:pPr>
      <w:r>
        <w:t>Network security includes secure data transmission, access controls, segmented networks, VPN setup, VLAN configuration and zero-trust proxy enablement.</w:t>
      </w:r>
    </w:p>
    <w:p>
      <w:pPr>
        <w:pStyle w:val="ListBullet"/>
        <w:spacing w:after="60"/>
      </w:pPr>
      <w:r>
        <w:t>Tools or technologies mentioned include WireGuard VPN, PacketFence and Pomerium/Pomerium-like segmentation.</w:t>
      </w:r>
    </w:p>
    <w:p>
      <w:pPr>
        <w:pStyle w:val="ListBullet"/>
        <w:spacing w:after="60"/>
      </w:pPr>
      <w:r>
        <w:t>IAM covers single sign-on, MFA, RBAC and auditing access to internal resources.</w:t>
      </w:r>
    </w:p>
    <w:p>
      <w:pPr>
        <w:pStyle w:val="ListBullet"/>
        <w:spacing w:after="60"/>
      </w:pPr>
      <w:r>
        <w:t>The speaker says the current scope has 19 domains, each with separate tools, and the work is larger than the first 10 domains shown initially.</w:t>
      </w:r>
    </w:p>
    <w:p>
      <w:pPr>
        <w:spacing w:after="60"/>
      </w:pPr>
      <w:r>
        <w:rPr>
          <w:b/>
        </w:rPr>
        <w:t xml:space="preserve">Technical terms/tools referenced: </w:t>
      </w:r>
      <w:r>
        <w:t>Endpoint agent; Vulnerability scan; Runtime policy; Malicious file simulation; ClamAV; osquery; Wazuh agent; WireGuard VPN; PacketFence; VLAN; Zero trust proxy; SSO; MFA; RBAC; 19 domains.</w:t>
      </w:r>
    </w:p>
    <w:p>
      <w:pPr>
        <w:pStyle w:val="Heading2"/>
        <w:spacing w:before="120" w:after="60"/>
      </w:pPr>
      <w:r>
        <w:t>28:46-30:15 - First question break</w:t>
      </w:r>
    </w:p>
    <w:p>
      <w:pPr>
        <w:spacing w:after="60"/>
      </w:pPr>
      <w:r>
        <w:rPr>
          <w:b/>
        </w:rPr>
        <w:t xml:space="preserve">Summary: </w:t>
      </w:r>
      <w:r>
        <w:t>The speaker pauses for questions about the platform, domains and program goals. No substantial technical question is captured before a break is suggested.</w:t>
      </w:r>
    </w:p>
    <w:p>
      <w:pPr>
        <w:pStyle w:val="Heading3"/>
        <w:spacing w:before="120" w:after="60"/>
      </w:pPr>
      <w:r>
        <w:t>Detailed notes</w:t>
      </w:r>
    </w:p>
    <w:p>
      <w:pPr>
        <w:pStyle w:val="ListBullet"/>
        <w:spacing w:after="60"/>
      </w:pPr>
      <w:r>
        <w:t>The speaker invites questions on the domains, the project direction, what the team is trying to build and why the program exists.</w:t>
      </w:r>
    </w:p>
    <w:p>
      <w:pPr>
        <w:pStyle w:val="ListBullet"/>
        <w:spacing w:after="60"/>
      </w:pPr>
      <w:r>
        <w:t>Participants do not ask questions in the captured audio.</w:t>
      </w:r>
    </w:p>
    <w:p>
      <w:pPr>
        <w:pStyle w:val="ListBullet"/>
        <w:spacing w:after="60"/>
      </w:pPr>
      <w:r>
        <w:t>A 10-minute break is announced.</w:t>
      </w:r>
    </w:p>
    <w:p>
      <w:pPr>
        <w:pStyle w:val="Heading2"/>
        <w:spacing w:before="120" w:after="60"/>
      </w:pPr>
      <w:r>
        <w:t>30:15-57:35 - Cut &amp; continued audio: break / missing section</w:t>
      </w:r>
    </w:p>
    <w:p>
      <w:pPr>
        <w:spacing w:after="60"/>
      </w:pPr>
      <w:r>
        <w:rPr>
          <w:b/>
        </w:rPr>
        <w:t xml:space="preserve">Summary: </w:t>
      </w:r>
      <w:r>
        <w:t>A long break or missing-audio section occurs. The transcript resumes with participants saying they still cannot hear the speaker, followed by the speaker checking audibility.</w:t>
      </w:r>
    </w:p>
    <w:p>
      <w:pPr>
        <w:pStyle w:val="Heading3"/>
        <w:spacing w:before="120" w:after="60"/>
      </w:pPr>
      <w:r>
        <w:t>Detailed notes</w:t>
      </w:r>
    </w:p>
    <w:p>
      <w:pPr>
        <w:pStyle w:val="ListBullet"/>
        <w:spacing w:after="60"/>
      </w:pPr>
      <w:r>
        <w:t>Marked as Cut &amp; continued audio. No substantive content is recoverable from the provided transcript for this interval.</w:t>
      </w:r>
    </w:p>
    <w:p>
      <w:pPr>
        <w:pStyle w:val="Heading2"/>
        <w:spacing w:before="120" w:after="60"/>
      </w:pPr>
      <w:r>
        <w:t>58:04-1:00:51 - Cybersecurity market problem: disconnected tools, cost and talent gap</w:t>
      </w:r>
    </w:p>
    <w:p>
      <w:pPr>
        <w:spacing w:after="60"/>
      </w:pPr>
      <w:r>
        <w:rPr>
          <w:b/>
        </w:rPr>
        <w:t xml:space="preserve">Summary: </w:t>
      </w:r>
      <w:r>
        <w:t>The speaker restates the market problem in business terms: disconnected tools, rising security costs, overloaded SOC teams, AI-assisted attackers and a shortage of specialists.</w:t>
      </w:r>
    </w:p>
    <w:p>
      <w:pPr>
        <w:pStyle w:val="Heading3"/>
        <w:spacing w:before="120" w:after="60"/>
      </w:pPr>
      <w:r>
        <w:t>Detailed notes</w:t>
      </w:r>
    </w:p>
    <w:p>
      <w:pPr>
        <w:pStyle w:val="ListBullet"/>
        <w:spacing w:after="60"/>
      </w:pPr>
      <w:r>
        <w:t>Cybersecurity tools are described as disconnected and difficult to manage manually across different dashboards.</w:t>
      </w:r>
    </w:p>
    <w:p>
      <w:pPr>
        <w:pStyle w:val="ListBullet"/>
        <w:spacing w:after="60"/>
      </w:pPr>
      <w:r>
        <w:t>Security spending is described as rising faster than revenue, creating cost pressure.</w:t>
      </w:r>
    </w:p>
    <w:p>
      <w:pPr>
        <w:pStyle w:val="ListBullet"/>
        <w:spacing w:after="60"/>
      </w:pPr>
      <w:r>
        <w:t>The speaker says alert/action dashboards are not sufficient for the current AI-driven threat environment.</w:t>
      </w:r>
    </w:p>
    <w:p>
      <w:pPr>
        <w:pStyle w:val="ListBullet"/>
        <w:spacing w:after="60"/>
      </w:pPr>
      <w:r>
        <w:t>AI makes hacking easier by helping with CTFs, bug detection and attack assistance.</w:t>
      </w:r>
    </w:p>
    <w:p>
      <w:pPr>
        <w:pStyle w:val="ListBullet"/>
        <w:spacing w:after="60"/>
      </w:pPr>
      <w:r>
        <w:t>Every security tool requires specialist knowledge, creating a talent gap. The speaker compares this to becoming a power user in Excel: each tool has its own internal workflows, shortcuts and specialized knowledge.</w:t>
      </w:r>
    </w:p>
    <w:p>
      <w:pPr>
        <w:pStyle w:val="ListBullet"/>
        <w:spacing w:after="60"/>
      </w:pPr>
      <w:r>
        <w:t>SOC teams are drowning in alerts and must decide what to handle or ignore.</w:t>
      </w:r>
    </w:p>
    <w:p>
      <w:pPr>
        <w:pStyle w:val="ListBullet"/>
        <w:spacing w:after="60"/>
      </w:pPr>
      <w:r>
        <w:t>Open-source tools exist, but enterprise-level integration and support are weak.</w:t>
      </w:r>
    </w:p>
    <w:p>
      <w:pPr>
        <w:pStyle w:val="ListBullet"/>
        <w:spacing w:after="60"/>
      </w:pPr>
      <w:r>
        <w:t>The speaker says the result is that companies can be compliant and heavily monitored while still being breached.</w:t>
      </w:r>
    </w:p>
    <w:p>
      <w:pPr>
        <w:spacing w:after="60"/>
      </w:pPr>
      <w:r>
        <w:rPr>
          <w:b/>
        </w:rPr>
        <w:t xml:space="preserve">Technical terms/tools referenced: </w:t>
      </w:r>
      <w:r>
        <w:t>Disconnected dashboards; SOC alert fatigue; AI-assisted attacks; Tool-specialist talent gap; Open-source support gap; Compliance vs real security.</w:t>
      </w:r>
    </w:p>
    <w:p>
      <w:pPr>
        <w:pStyle w:val="Heading2"/>
        <w:spacing w:before="120" w:after="60"/>
      </w:pPr>
      <w:r>
        <w:t>1:00:57-1:04:55 - Sentrix/Centrix solution: security control plane and action layers</w:t>
      </w:r>
    </w:p>
    <w:p>
      <w:pPr>
        <w:spacing w:after="60"/>
      </w:pPr>
      <w:r>
        <w:rPr>
          <w:b/>
        </w:rPr>
        <w:t xml:space="preserve">Summary: </w:t>
      </w:r>
      <w:r>
        <w:t>Sentrix/Centrix is framed as a control plane or “single glass” for security operations. It centralizes detection, response, governance and recovery across many security domains and tools.</w:t>
      </w:r>
    </w:p>
    <w:p>
      <w:pPr>
        <w:pStyle w:val="Heading3"/>
        <w:spacing w:before="120" w:after="60"/>
      </w:pPr>
      <w:r>
        <w:t>Detailed notes</w:t>
      </w:r>
    </w:p>
    <w:p>
      <w:pPr>
        <w:pStyle w:val="ListBullet"/>
        <w:spacing w:after="60"/>
      </w:pPr>
      <w:r>
        <w:t>The platform is described as cost-efficient, composable, transparent and automated by default.</w:t>
      </w:r>
    </w:p>
    <w:p>
      <w:pPr>
        <w:pStyle w:val="ListBullet"/>
        <w:spacing w:after="60"/>
      </w:pPr>
      <w:r>
        <w:t>It aims to support more than 2,000 tools together.</w:t>
      </w:r>
    </w:p>
    <w:p>
      <w:pPr>
        <w:pStyle w:val="ListBullet"/>
        <w:spacing w:after="60"/>
      </w:pPr>
      <w:r>
        <w:t>Sentrix/Centrix is positioned as a single control plane with built-in detection, response, governance and recovery.</w:t>
      </w:r>
    </w:p>
    <w:p>
      <w:pPr>
        <w:pStyle w:val="ListBullet"/>
        <w:spacing w:after="60"/>
      </w:pPr>
      <w:r>
        <w:t>The speaker says the system currently covers 19 domains, 178 subdomains and roughly 15 tools per subdomain, totaling 2,000+ tools.</w:t>
      </w:r>
    </w:p>
    <w:p>
      <w:pPr>
        <w:pStyle w:val="ListBullet"/>
        <w:spacing w:after="60"/>
      </w:pPr>
      <w:r>
        <w:t>Ten implemented/current domains are listed: application security, DevSecOps, IAM, perimeter security, threat detection, endpoint, cloud security, backup/recovery/digital forensics, GRC, security automation and network security.</w:t>
      </w:r>
    </w:p>
    <w:p>
      <w:pPr>
        <w:pStyle w:val="ListBullet"/>
        <w:spacing w:after="60"/>
      </w:pPr>
      <w:r>
        <w:t>Three action layers are described: an action layer for automated response, isolation and remediation; an intelligence layer for detection and deciding the correct path across heterogeneous systems; and an aggregation layer for events, telemetry and logs.</w:t>
      </w:r>
    </w:p>
    <w:p>
      <w:pPr>
        <w:pStyle w:val="ListBullet"/>
        <w:spacing w:after="60"/>
      </w:pPr>
      <w:r>
        <w:t>The system is vendor agnostic and intended to interoperate with any tool or vendor, avoiding lock-in.</w:t>
      </w:r>
    </w:p>
    <w:p>
      <w:pPr>
        <w:pStyle w:val="ListBullet"/>
        <w:spacing w:after="60"/>
      </w:pPr>
      <w:r>
        <w:t>Users can keep existing tools such as Wazuh or Wireshark and manage them through Sentrix/Centrix with added intelligence.</w:t>
      </w:r>
    </w:p>
    <w:p>
      <w:pPr>
        <w:spacing w:after="60"/>
      </w:pPr>
      <w:r>
        <w:rPr>
          <w:b/>
        </w:rPr>
        <w:t xml:space="preserve">Technical terms/tools referenced: </w:t>
      </w:r>
      <w:r>
        <w:t>Control plane; Single pane/single glass; Detection-response-governance-recovery; Action layer; Intelligence layer; Aggregation layer; Telemetry; Vendor agnostic; No vendor lock-in.</w:t>
      </w:r>
    </w:p>
    <w:p>
      <w:pPr>
        <w:pStyle w:val="Heading2"/>
        <w:spacing w:before="120" w:after="60"/>
      </w:pPr>
      <w:r>
        <w:t>1:04:55-1:09:30 - Differentiation, customers, business value and monetization</w:t>
      </w:r>
    </w:p>
    <w:p>
      <w:pPr>
        <w:spacing w:after="60"/>
      </w:pPr>
      <w:r>
        <w:rPr>
          <w:b/>
        </w:rPr>
        <w:t xml:space="preserve">Summary: </w:t>
      </w:r>
      <w:r>
        <w:t>The speaker outlines why Sentrix/Centrix is different, who it is for and what business value it provides. The platform is open-source-first, automation-native, compliance-aware and positioned for enterprises, MSSPs, regulated industries, government, universities and SOC training providers.</w:t>
      </w:r>
    </w:p>
    <w:p>
      <w:pPr>
        <w:pStyle w:val="Heading3"/>
        <w:spacing w:before="120" w:after="60"/>
      </w:pPr>
      <w:r>
        <w:t>Detailed notes</w:t>
      </w:r>
    </w:p>
    <w:p>
      <w:pPr>
        <w:pStyle w:val="ListBullet"/>
        <w:spacing w:after="60"/>
      </w:pPr>
      <w:r>
        <w:t>Open-source-first is presented as essential for trust in cybersecurity, because users and communities can inspect what the tool is doing.</w:t>
      </w:r>
    </w:p>
    <w:p>
      <w:pPr>
        <w:pStyle w:val="ListBullet"/>
        <w:spacing w:after="60"/>
      </w:pPr>
      <w:r>
        <w:t>Automation is described as native to the system rather than an add-on.</w:t>
      </w:r>
    </w:p>
    <w:p>
      <w:pPr>
        <w:pStyle w:val="ListBullet"/>
        <w:spacing w:after="60"/>
      </w:pPr>
      <w:r>
        <w:t>Compliance is emphasized as a major enterprise security requirement. The speaker states that non-compliance can lead to million-level fines.</w:t>
      </w:r>
    </w:p>
    <w:p>
      <w:pPr>
        <w:pStyle w:val="ListBullet"/>
        <w:spacing w:after="60"/>
      </w:pPr>
      <w:r>
        <w:t>The platform is expected to show whether domains/processes are compliant, including code, databases, backups and operational process handling.</w:t>
      </w:r>
    </w:p>
    <w:p>
      <w:pPr>
        <w:pStyle w:val="ListBullet"/>
        <w:spacing w:after="60"/>
      </w:pPr>
      <w:r>
        <w:t>Primary customers include mid-to-large enterprises, managed security service providers, regulated industries such as fintech, healthcare and SaaS, and government institutions.</w:t>
      </w:r>
    </w:p>
    <w:p>
      <w:pPr>
        <w:pStyle w:val="ListBullet"/>
        <w:spacing w:after="60"/>
      </w:pPr>
      <w:r>
        <w:t>Secondary customers include universities, cyber training labs and SOC-as-a-service/certification providers.</w:t>
      </w:r>
    </w:p>
    <w:p>
      <w:pPr>
        <w:pStyle w:val="ListBullet"/>
        <w:spacing w:after="60"/>
      </w:pPr>
      <w:r>
        <w:t>The speaker says training users on Sentrix/Centrix can make them productive across many tools from day one.</w:t>
      </w:r>
    </w:p>
    <w:p>
      <w:pPr>
        <w:pStyle w:val="ListBullet"/>
        <w:spacing w:after="60"/>
      </w:pPr>
      <w:r>
        <w:t>Business value claims include 40-70% lower operational expenditure, faster incident response, lower headcount dependency, no vendor lock-in and predictable operational cost.</w:t>
      </w:r>
    </w:p>
    <w:p>
      <w:pPr>
        <w:pStyle w:val="ListBullet"/>
        <w:spacing w:after="60"/>
      </w:pPr>
      <w:r>
        <w:t>Monetization paths include enterprise subscriptions, compliance/auditing tools, SOC-as-a-service backend/training and vertical-specific bundles for fintech, healthcare, manufacturing and similar sectors.</w:t>
      </w:r>
    </w:p>
    <w:p>
      <w:pPr>
        <w:spacing w:after="60"/>
      </w:pPr>
      <w:r>
        <w:rPr>
          <w:b/>
        </w:rPr>
        <w:t xml:space="preserve">Technical terms/tools referenced: </w:t>
      </w:r>
      <w:r>
        <w:t>Open-source-first; Compliance portal; MSSP; SOC-as-a-service; Vertical security bundles; Operational expenditure reduction; Faster incident response.</w:t>
      </w:r>
    </w:p>
    <w:p>
      <w:pPr>
        <w:pStyle w:val="Heading2"/>
        <w:spacing w:before="120" w:after="60"/>
      </w:pPr>
      <w:r>
        <w:t>1:09:39-1:12:08 - Why now: AI threats, vendor fatigue and compliance pressure</w:t>
      </w:r>
    </w:p>
    <w:p>
      <w:pPr>
        <w:spacing w:after="60"/>
      </w:pPr>
      <w:r>
        <w:rPr>
          <w:b/>
        </w:rPr>
        <w:t xml:space="preserve">Summary: </w:t>
      </w:r>
      <w:r>
        <w:t>The speaker argues that the platform is timely because AI has changed the attack landscape while security operations remain manual and fragmented.</w:t>
      </w:r>
    </w:p>
    <w:p>
      <w:pPr>
        <w:pStyle w:val="Heading3"/>
        <w:spacing w:before="120" w:after="60"/>
      </w:pPr>
      <w:r>
        <w:t>Detailed notes</w:t>
      </w:r>
    </w:p>
    <w:p>
      <w:pPr>
        <w:pStyle w:val="ListBullet"/>
        <w:spacing w:after="60"/>
      </w:pPr>
      <w:r>
        <w:t>AI threats are described as rising, with a reference to “Mythos”/Anthropic-related model capability in attack generation. The transcript is unclear here, but the point is that capable AI attack tooling increases the threat gap.</w:t>
      </w:r>
    </w:p>
    <w:p>
      <w:pPr>
        <w:pStyle w:val="ListBullet"/>
        <w:spacing w:after="60"/>
      </w:pPr>
      <w:r>
        <w:t>Manual security processes, scattered tools and researcher-driven analysis make companies vulnerable when attacker capability increases.</w:t>
      </w:r>
    </w:p>
    <w:p>
      <w:pPr>
        <w:pStyle w:val="ListBullet"/>
        <w:spacing w:after="60"/>
      </w:pPr>
      <w:r>
        <w:t>The speaker says automated response is needed so only major/high-impact security incidents reach human analysts.</w:t>
      </w:r>
    </w:p>
    <w:p>
      <w:pPr>
        <w:pStyle w:val="ListBullet"/>
        <w:spacing w:after="60"/>
      </w:pPr>
      <w:r>
        <w:t>Vendor fatigue is described as real: too many tools, too little integration and a need for consolidation.</w:t>
      </w:r>
    </w:p>
    <w:p>
      <w:pPr>
        <w:pStyle w:val="ListBullet"/>
        <w:spacing w:after="60"/>
      </w:pPr>
      <w:r>
        <w:t>Security budgets are under scrutiny, making efficiency and predictable cost important.</w:t>
      </w:r>
    </w:p>
    <w:p>
      <w:pPr>
        <w:pStyle w:val="ListBullet"/>
        <w:spacing w:after="60"/>
      </w:pPr>
      <w:r>
        <w:t>Legacy vendors are characterized as fragmented, vendor-locked and incomplete across areas such as zero trust, application security and backup.</w:t>
      </w:r>
    </w:p>
    <w:p>
      <w:pPr>
        <w:pStyle w:val="ListBullet"/>
        <w:spacing w:after="60"/>
      </w:pPr>
      <w:r>
        <w:t>The platform is positioned as an alternative to corporate tool lock-in: a unified tool that makes daily security operations easier.</w:t>
      </w:r>
    </w:p>
    <w:p>
      <w:pPr>
        <w:spacing w:after="60"/>
      </w:pPr>
      <w:r>
        <w:rPr>
          <w:b/>
        </w:rPr>
        <w:t xml:space="preserve">Technical terms/tools referenced: </w:t>
      </w:r>
      <w:r>
        <w:t>AI threat acceleration; Human-in-the-loop only for high-impact incidents; Vendor fatigue; Security budget scrutiny; Zero-trust coverage gap; Backup compliance gap.</w:t>
      </w:r>
    </w:p>
    <w:p>
      <w:pPr>
        <w:pStyle w:val="Heading2"/>
        <w:spacing w:before="120" w:after="60"/>
      </w:pPr>
      <w:r>
        <w:t>1:12:17-1:16:20 - Question period and prototype/MVP status</w:t>
      </w:r>
    </w:p>
    <w:p>
      <w:pPr>
        <w:spacing w:after="60"/>
      </w:pPr>
      <w:r>
        <w:rPr>
          <w:b/>
        </w:rPr>
        <w:t xml:space="preserve">Summary: </w:t>
      </w:r>
      <w:r>
        <w:t>The speaker pauses again for questions. A partially captured exchange indicates that a prototype/MVP already exists and the project is ongoing.</w:t>
      </w:r>
    </w:p>
    <w:p>
      <w:pPr>
        <w:pStyle w:val="Heading3"/>
        <w:spacing w:before="120" w:after="60"/>
      </w:pPr>
      <w:r>
        <w:t>Detailed notes</w:t>
      </w:r>
    </w:p>
    <w:p>
      <w:pPr>
        <w:pStyle w:val="ListBullet"/>
        <w:spacing w:after="60"/>
      </w:pPr>
      <w:r>
        <w:t>The speaker invites questions on the direction, correctness of the approach or any doubts about the project.</w:t>
      </w:r>
    </w:p>
    <w:p>
      <w:pPr>
        <w:pStyle w:val="ListBullet"/>
        <w:spacing w:after="60"/>
      </w:pPr>
      <w:r>
        <w:t>Most of the exchange is silent or not captured.</w:t>
      </w:r>
    </w:p>
    <w:p>
      <w:pPr>
        <w:pStyle w:val="ListBullet"/>
        <w:spacing w:after="60"/>
      </w:pPr>
      <w:r>
        <w:t>The transcript captures the speaker saying that a “P” is already implemented for the product; context suggests a prototype/MVP, but the exact word is unclear.</w:t>
      </w:r>
    </w:p>
    <w:p>
      <w:pPr>
        <w:pStyle w:val="ListBullet"/>
        <w:spacing w:after="60"/>
      </w:pPr>
      <w:r>
        <w:t>The project is described as ongoing, with research already completed across domains and more demonstration planned.</w:t>
      </w:r>
    </w:p>
    <w:p>
      <w:pPr>
        <w:spacing w:after="60"/>
      </w:pPr>
      <w:r>
        <w:rPr>
          <w:b/>
        </w:rPr>
        <w:t xml:space="preserve">Technical terms/tools referenced: </w:t>
      </w:r>
      <w:r>
        <w:t>Prototype/MVP status unclear but implied; Ongoing project; Domain research.</w:t>
      </w:r>
    </w:p>
    <w:p>
      <w:pPr>
        <w:pStyle w:val="Heading2"/>
        <w:spacing w:before="120" w:after="60"/>
      </w:pPr>
      <w:r>
        <w:t>1:16:28-1:23:25 - Deep dive: perimeter security skill requirements</w:t>
      </w:r>
    </w:p>
    <w:p>
      <w:pPr>
        <w:spacing w:after="60"/>
      </w:pPr>
      <w:r>
        <w:rPr>
          <w:b/>
        </w:rPr>
        <w:t xml:space="preserve">Summary: </w:t>
      </w:r>
      <w:r>
        <w:t>The speaker begins a domain-by-domain skill breakdown, starting with perimeter security. The aim is to show that even one domain requires broad knowledge across networking, firewalls, WAFs, IDS/IPS, attack simulation, logging and documentation.</w:t>
      </w:r>
    </w:p>
    <w:p>
      <w:pPr>
        <w:pStyle w:val="Heading3"/>
        <w:spacing w:before="120" w:after="60"/>
      </w:pPr>
      <w:r>
        <w:t>Detailed notes</w:t>
      </w:r>
    </w:p>
    <w:p>
      <w:pPr>
        <w:pStyle w:val="ListBullet"/>
        <w:spacing w:after="60"/>
      </w:pPr>
      <w:r>
        <w:t>Perimeter security outcomes include robust network perimeter defense, a rule-driven firewall and control over inbound/outbound traffic.</w:t>
      </w:r>
    </w:p>
    <w:p>
      <w:pPr>
        <w:pStyle w:val="ListBullet"/>
        <w:spacing w:after="60"/>
      </w:pPr>
      <w:r>
        <w:t>The SRM university network is used as an example: SSH connections are blocked, showing how a firewall can block specific ports or connection types.</w:t>
      </w:r>
    </w:p>
    <w:p>
      <w:pPr>
        <w:pStyle w:val="ListBullet"/>
        <w:spacing w:after="60"/>
      </w:pPr>
      <w:r>
        <w:t>Gaming websites such as Riot/Valorant can also be blocked; the speaker connects this to web/application protection and filtering.</w:t>
      </w:r>
    </w:p>
    <w:p>
      <w:pPr>
        <w:pStyle w:val="ListBullet"/>
        <w:spacing w:after="60"/>
      </w:pPr>
      <w:r>
        <w:t>WAF deployment uses ModSecurity integrated with Nginx or Apache to protect against layer-7 threats.</w:t>
      </w:r>
    </w:p>
    <w:p>
      <w:pPr>
        <w:pStyle w:val="ListBullet"/>
        <w:spacing w:after="60"/>
      </w:pPr>
      <w:r>
        <w:t>Real-time detection uses Suricata or Snort IDS/IPS to generate alerts for suspicious activity.</w:t>
      </w:r>
    </w:p>
    <w:p>
      <w:pPr>
        <w:pStyle w:val="ListBullet"/>
        <w:spacing w:after="60"/>
      </w:pPr>
      <w:r>
        <w:t>The speaker counts several tools even for a few perimeter functions: pfSense, WAF/ModSecurity, Nginx, Apache, Suricata/Snort and additional reporting/testing tools.</w:t>
      </w:r>
    </w:p>
    <w:p>
      <w:pPr>
        <w:pStyle w:val="ListBullet"/>
        <w:spacing w:after="60"/>
      </w:pPr>
      <w:r>
        <w:t>Attack simulation reporting uses ELK dashboards, Nmap for port scans, SQLMap for SQL injection and Hydra for brute-force attempts.</w:t>
      </w:r>
    </w:p>
    <w:p>
      <w:pPr>
        <w:pStyle w:val="ListBullet"/>
        <w:spacing w:after="60"/>
      </w:pPr>
      <w:r>
        <w:t>Skill requirements include VLANs, inbound/outbound firewall rules, WAF deployment, network topology, routers, subnets, IP addressing, HTTP threat rules, XSS, path traversal, logging/response configuration, IDS/IPS signatures and real-time alerting.</w:t>
      </w:r>
    </w:p>
    <w:p>
      <w:pPr>
        <w:pStyle w:val="ListBullet"/>
        <w:spacing w:after="60"/>
      </w:pPr>
      <w:r>
        <w:t>The speaker emphasizes red-team and blue-team knowledge: to defend, one must also understand how tools such as Nmap, SQLMap and Hydra emulate attacks.</w:t>
      </w:r>
    </w:p>
    <w:p>
      <w:pPr>
        <w:pStyle w:val="ListBullet"/>
        <w:spacing w:after="60"/>
      </w:pPr>
      <w:r>
        <w:t>Documentation and visual architecture diagrams are also treated as required deliverables, not optional admin work.</w:t>
      </w:r>
    </w:p>
    <w:p>
      <w:pPr>
        <w:spacing w:after="60"/>
      </w:pPr>
      <w:r>
        <w:rPr>
          <w:b/>
        </w:rPr>
        <w:t xml:space="preserve">Technical terms/tools referenced: </w:t>
      </w:r>
      <w:r>
        <w:t>pfSense; VLAN; Inbound/outbound firewall rules; ModSecurity; Nginx; Apache; Layer 7 threats; Suricata; Snort; Nmap; SQLMap; Hydra; XSS; Path traversal; Red team / blue team; Architecture diagrams.</w:t>
      </w:r>
    </w:p>
    <w:p>
      <w:pPr>
        <w:pStyle w:val="Heading2"/>
        <w:spacing w:before="120" w:after="60"/>
      </w:pPr>
      <w:r>
        <w:t>1:23:32-1:26:00 - Deep dive: threat detection / SIEM skill requirements</w:t>
      </w:r>
    </w:p>
    <w:p>
      <w:pPr>
        <w:spacing w:after="60"/>
      </w:pPr>
      <w:r>
        <w:rPr>
          <w:b/>
        </w:rPr>
        <w:t xml:space="preserve">Summary: </w:t>
      </w:r>
      <w:r>
        <w:t>The threat detection domain requires real-time collection, analysis and correlation of security events using open-source SIEM tooling, threat intelligence and documentation.</w:t>
      </w:r>
    </w:p>
    <w:p>
      <w:pPr>
        <w:pStyle w:val="Heading3"/>
        <w:spacing w:before="120" w:after="60"/>
      </w:pPr>
      <w:r>
        <w:t>Detailed notes</w:t>
      </w:r>
    </w:p>
    <w:p>
      <w:pPr>
        <w:pStyle w:val="ListBullet"/>
        <w:spacing w:after="60"/>
      </w:pPr>
      <w:r>
        <w:t>The objective is to collect, analyze and correlate security events in real time using an open-source SIEM solution.</w:t>
      </w:r>
    </w:p>
    <w:p>
      <w:pPr>
        <w:pStyle w:val="ListBullet"/>
        <w:spacing w:after="60"/>
      </w:pPr>
      <w:r>
        <w:t>Core scope includes log aggregation, real-time alerting, correlation of suspicious security events and threat-intelligence ingestion.</w:t>
      </w:r>
    </w:p>
    <w:p>
      <w:pPr>
        <w:pStyle w:val="ListBullet"/>
        <w:spacing w:after="60"/>
      </w:pPr>
      <w:r>
        <w:t>Tools include Wazuh/Vazu, ELK Stack and MISP.</w:t>
      </w:r>
    </w:p>
    <w:p>
      <w:pPr>
        <w:pStyle w:val="ListBullet"/>
        <w:spacing w:after="60"/>
      </w:pPr>
      <w:r>
        <w:t>Expected deliverables include a centralized SIEM dashboard, custom rule sets for attack detection, alert notifications and full documentation.</w:t>
      </w:r>
    </w:p>
    <w:p>
      <w:pPr>
        <w:pStyle w:val="ListBullet"/>
        <w:spacing w:after="60"/>
      </w:pPr>
      <w:r>
        <w:t>The speaker notes that custom rule creation requires imagining what an attacker could do and then writing detection logic for it.</w:t>
      </w:r>
    </w:p>
    <w:p>
      <w:pPr>
        <w:pStyle w:val="ListBullet"/>
        <w:spacing w:after="60"/>
      </w:pPr>
      <w:r>
        <w:t>Without automation or intelligence, alerts pile up and require manpower to analyze whether they are meaningful.</w:t>
      </w:r>
    </w:p>
    <w:p>
      <w:pPr>
        <w:pStyle w:val="ListBullet"/>
        <w:spacing w:after="60"/>
      </w:pPr>
      <w:r>
        <w:t>Success criteria include collecting and visualizing logs successfully, triggering alerts for suspicious activity, ingesting threat intelligence through MISP and generating final documentation.</w:t>
      </w:r>
    </w:p>
    <w:p>
      <w:pPr>
        <w:spacing w:after="60"/>
      </w:pPr>
      <w:r>
        <w:rPr>
          <w:b/>
        </w:rPr>
        <w:t xml:space="preserve">Technical terms/tools referenced: </w:t>
      </w:r>
      <w:r>
        <w:t>Open-source SIEM; Log aggregation; Real-time alerting; Correlation; Threat-intelligence ingestion; Wazuh/Vazu; ELK; MISP; Custom detection rules.</w:t>
      </w:r>
    </w:p>
    <w:p>
      <w:pPr>
        <w:pStyle w:val="Heading2"/>
        <w:spacing w:before="120" w:after="60"/>
      </w:pPr>
      <w:r>
        <w:t>1:26:08-1:30:55 - Deep dive: endpoint security skill requirements</w:t>
      </w:r>
    </w:p>
    <w:p>
      <w:pPr>
        <w:spacing w:after="60"/>
      </w:pPr>
      <w:r>
        <w:rPr>
          <w:b/>
        </w:rPr>
        <w:t xml:space="preserve">Summary: </w:t>
      </w:r>
      <w:r>
        <w:t>Endpoint security covers laptops, desktops, servers, mobile devices and other devices. The speaker explains malware risk, privilege escalation, malicious devices, endpoint monitoring, vulnerability reports, quarantine and recovery.</w:t>
      </w:r>
    </w:p>
    <w:p>
      <w:pPr>
        <w:pStyle w:val="Heading3"/>
        <w:spacing w:before="120" w:after="60"/>
      </w:pPr>
      <w:r>
        <w:t>Detailed notes</w:t>
      </w:r>
    </w:p>
    <w:p>
      <w:pPr>
        <w:pStyle w:val="ListBullet"/>
        <w:spacing w:after="60"/>
      </w:pPr>
      <w:r>
        <w:t>Endpoint security protects individual devices from cyber threats, unauthorized access and malware.</w:t>
      </w:r>
    </w:p>
    <w:p>
      <w:pPr>
        <w:pStyle w:val="ListBullet"/>
        <w:spacing w:after="60"/>
      </w:pPr>
      <w:r>
        <w:t>The speaker demonstrates privilege escalation with a normal user switching to root. A real attacker would try to gain root because root can access all system resources, passwords and documentation without normal restrictions.</w:t>
      </w:r>
    </w:p>
    <w:p>
      <w:pPr>
        <w:pStyle w:val="ListBullet"/>
        <w:spacing w:after="60"/>
      </w:pPr>
      <w:r>
        <w:t>The speaker highlights malware hidden inside applications or game binaries. Once executed, it may self-destruct or hide while the machine becomes part of a botnet.</w:t>
      </w:r>
    </w:p>
    <w:p>
      <w:pPr>
        <w:pStyle w:val="ListBullet"/>
        <w:spacing w:after="60"/>
      </w:pPr>
      <w:r>
        <w:t>A small attacker tradecraft point is mentioned: placing a whitespace before a command can prevent it from appearing in shell history in some configurations. The speaker uses this to show that defenders need to know small attacker practices.</w:t>
      </w:r>
    </w:p>
    <w:p>
      <w:pPr>
        <w:pStyle w:val="ListBullet"/>
        <w:spacing w:after="60"/>
      </w:pPr>
      <w:r>
        <w:t>Outcomes include securing endpoints from malware/vulnerabilities, enabling real-time detection, automating response, maintaining device visibility, enforcing security policies, restricting software and hardening devices.</w:t>
      </w:r>
    </w:p>
    <w:p>
      <w:pPr>
        <w:pStyle w:val="ListBullet"/>
        <w:spacing w:after="60"/>
      </w:pPr>
      <w:r>
        <w:t>External malicious devices are discussed, including “Rubber Ducky”-style USB devices that look like flash drives/keyboards but execute commands.</w:t>
      </w:r>
    </w:p>
    <w:p>
      <w:pPr>
        <w:pStyle w:val="ListBullet"/>
        <w:spacing w:after="60"/>
      </w:pPr>
      <w:r>
        <w:t>Endpoint systems should generate actionable vulnerability or incident reports, quarantine suspicious software before execution, remediate issues and recover after compromise.</w:t>
      </w:r>
    </w:p>
    <w:p>
      <w:pPr>
        <w:pStyle w:val="ListBullet"/>
        <w:spacing w:after="60"/>
      </w:pPr>
      <w:r>
        <w:t>Tools mentioned include ClamAV/CLAM, osquery and Wazuh/Vazu agent. The speaker emphasizes that each tool has its own interface and learning curve.</w:t>
      </w:r>
    </w:p>
    <w:p>
      <w:pPr>
        <w:pStyle w:val="ListBullet"/>
        <w:spacing w:after="60"/>
      </w:pPr>
      <w:r>
        <w:t>Additional endpoint requirements include web-search/site monitoring, malicious-domain databases, incident response, testing/simulation, reporting and integration.</w:t>
      </w:r>
    </w:p>
    <w:p>
      <w:pPr>
        <w:spacing w:after="60"/>
      </w:pPr>
      <w:r>
        <w:rPr>
          <w:b/>
        </w:rPr>
        <w:t xml:space="preserve">Technical terms/tools referenced: </w:t>
      </w:r>
      <w:r>
        <w:t>Privilege escalation; Root access; Malware in game/software binaries; Botnet; Shell history evasion via whitespace; Rubber Ducky; Device hardening; Quarantine; ClamAV; osquery; Wazuh agent; Incident response.</w:t>
      </w:r>
    </w:p>
    <w:p>
      <w:pPr>
        <w:pStyle w:val="Heading2"/>
        <w:spacing w:before="120" w:after="60"/>
      </w:pPr>
      <w:r>
        <w:t>1:31:01-1:35:15 - Deep dive: network security and IAM</w:t>
      </w:r>
    </w:p>
    <w:p>
      <w:pPr>
        <w:spacing w:after="60"/>
      </w:pPr>
      <w:r>
        <w:rPr>
          <w:b/>
        </w:rPr>
        <w:t xml:space="preserve">Summary: </w:t>
      </w:r>
      <w:r>
        <w:t>Network security requires encrypted transmission, VLAN isolation, zero-trust access and infrastructure knowledge. IAM requires SSO, MFA, RBAC, provisioning/deprovisioning, audit trails, LDAP, delegated administration and privileged access management.</w:t>
      </w:r>
    </w:p>
    <w:p>
      <w:pPr>
        <w:pStyle w:val="Heading3"/>
        <w:spacing w:before="120" w:after="60"/>
      </w:pPr>
      <w:r>
        <w:t>Detailed notes</w:t>
      </w:r>
    </w:p>
    <w:p>
      <w:pPr>
        <w:pStyle w:val="ListBullet"/>
        <w:spacing w:after="60"/>
      </w:pPr>
      <w:r>
        <w:t>Network security includes encrypted data in transit and isolation of internal traffic through VLANs.</w:t>
      </w:r>
    </w:p>
    <w:p>
      <w:pPr>
        <w:pStyle w:val="ListBullet"/>
        <w:spacing w:after="60"/>
      </w:pPr>
      <w:r>
        <w:t>Engineers need to know Cisco routers, VLAN creation, secure routing, IP addressing, subnets and zero-trust access concepts.</w:t>
      </w:r>
    </w:p>
    <w:p>
      <w:pPr>
        <w:pStyle w:val="ListBullet"/>
        <w:spacing w:after="60"/>
      </w:pPr>
      <w:r>
        <w:t>The speaker describes zero trust as ensuring that neither the company nor a man-in-the-middle attacker can see sensitive activity, while the connection remains secure end-to-end.</w:t>
      </w:r>
    </w:p>
    <w:p>
      <w:pPr>
        <w:pStyle w:val="ListBullet"/>
        <w:spacing w:after="60"/>
      </w:pPr>
      <w:r>
        <w:t>Data must be secured both in transit and at rest, including confidential company data on laptops and internal systems.</w:t>
      </w:r>
    </w:p>
    <w:p>
      <w:pPr>
        <w:pStyle w:val="ListBullet"/>
        <w:spacing w:after="60"/>
      </w:pPr>
      <w:r>
        <w:t>IAM is described as a very large domain with centralized user directories, role administration and security privileges.</w:t>
      </w:r>
    </w:p>
    <w:p>
      <w:pPr>
        <w:pStyle w:val="ListBullet"/>
        <w:spacing w:after="60"/>
      </w:pPr>
      <w:r>
        <w:t>SSO is explained through the “login with Google” model, where users access many tools using one identity instead of remembering many passwords.</w:t>
      </w:r>
    </w:p>
    <w:p>
      <w:pPr>
        <w:pStyle w:val="ListBullet"/>
        <w:spacing w:after="60"/>
      </w:pPr>
      <w:r>
        <w:t>IAM deliverables include MFA, RBAC, user provisioning and deprovisioning, self-service password reset and comprehensive audit trails.</w:t>
      </w:r>
    </w:p>
    <w:p>
      <w:pPr>
        <w:pStyle w:val="ListBullet"/>
        <w:spacing w:after="60"/>
      </w:pPr>
      <w:r>
        <w:t>Audit examples include tracking which user accessed which software, when access happened and whether a company email ID was used from a company-issued laptop or an external/international computer.</w:t>
      </w:r>
    </w:p>
    <w:p>
      <w:pPr>
        <w:pStyle w:val="ListBullet"/>
        <w:spacing w:after="60"/>
      </w:pPr>
      <w:r>
        <w:t>Technical components include LDAP hardware/devices, delegated admin management, privileged access management, password/credential policies and quarterly access reviews.</w:t>
      </w:r>
    </w:p>
    <w:p>
      <w:pPr>
        <w:pStyle w:val="ListBullet"/>
        <w:spacing w:after="60"/>
      </w:pPr>
      <w:r>
        <w:t>OAuth/SAML and context-aware/adaptive access control are mentioned as secure IAM implementation approaches.</w:t>
      </w:r>
    </w:p>
    <w:p>
      <w:pPr>
        <w:pStyle w:val="ListBullet"/>
        <w:spacing w:after="60"/>
      </w:pPr>
      <w:r>
        <w:t>Zero-trust architecture is expected to apply across the identity and access layer as well.</w:t>
      </w:r>
    </w:p>
    <w:p>
      <w:pPr>
        <w:spacing w:after="60"/>
      </w:pPr>
      <w:r>
        <w:rPr>
          <w:b/>
        </w:rPr>
        <w:t xml:space="preserve">Technical terms/tools referenced: </w:t>
      </w:r>
      <w:r>
        <w:t>Encrypted transit; VLAN isolation; Cisco routers; Subnets; Zero trust; Data at rest; Centralized directory; SSO; MFA; RBAC; Provisioning/deprovisioning; Self-service password reset; Audit trail; LDAP; PAM; OAuth; SAML; Adaptive access control.</w:t>
      </w:r>
    </w:p>
    <w:p>
      <w:pPr>
        <w:pStyle w:val="Heading2"/>
        <w:spacing w:before="120" w:after="60"/>
      </w:pPr>
      <w:r>
        <w:t>1:35:15-1:37:13 - Deep dive: backup/recovery and cloud security</w:t>
      </w:r>
    </w:p>
    <w:p>
      <w:pPr>
        <w:spacing w:after="60"/>
      </w:pPr>
      <w:r>
        <w:rPr>
          <w:b/>
        </w:rPr>
        <w:t xml:space="preserve">Summary: </w:t>
      </w:r>
      <w:r>
        <w:t>The speaker briefly notes backup/recovery requirements and then explains that cloud security requires deep platform-specific knowledge across AWS, Azure, GCP and other providers.</w:t>
      </w:r>
    </w:p>
    <w:p>
      <w:pPr>
        <w:pStyle w:val="Heading3"/>
        <w:spacing w:before="120" w:after="60"/>
      </w:pPr>
      <w:r>
        <w:t>Detailed notes</w:t>
      </w:r>
    </w:p>
    <w:p>
      <w:pPr>
        <w:pStyle w:val="ListBullet"/>
        <w:spacing w:after="60"/>
      </w:pPr>
      <w:r>
        <w:t>Backup and recovery are included because engineers must know how to restore systems when something goes down.</w:t>
      </w:r>
    </w:p>
    <w:p>
      <w:pPr>
        <w:pStyle w:val="ListBullet"/>
        <w:spacing w:after="60"/>
      </w:pPr>
      <w:r>
        <w:t>Cloud security includes AWS, Azure and hybrid setups where some systems remain on-premises while some services move to cloud providers.</w:t>
      </w:r>
    </w:p>
    <w:p>
      <w:pPr>
        <w:pStyle w:val="ListBullet"/>
        <w:spacing w:after="60"/>
      </w:pPr>
      <w:r>
        <w:t>AWS security examples include account security scanning, IAM accounts and roles, secure S3 creation, secure EC2 creation, exposing RDS safely and assigning IAM rules to services with least privilege.</w:t>
      </w:r>
    </w:p>
    <w:p>
      <w:pPr>
        <w:pStyle w:val="ListBullet"/>
        <w:spacing w:after="60"/>
      </w:pPr>
      <w:r>
        <w:t>AWS network concepts include VPC, subnetting, internet gateways, public internet access and protecting credentials so attackers cannot access the full VPC.</w:t>
      </w:r>
    </w:p>
    <w:p>
      <w:pPr>
        <w:pStyle w:val="ListBullet"/>
        <w:spacing w:after="60"/>
      </w:pPr>
      <w:r>
        <w:t>The speaker warns that cloud concepts are provider-specific. Knowing AWS does not automatically mean knowing Azure, GCP or DigitalOcean because names and configurations differ.</w:t>
      </w:r>
    </w:p>
    <w:p>
      <w:pPr>
        <w:spacing w:after="60"/>
      </w:pPr>
      <w:r>
        <w:rPr>
          <w:b/>
        </w:rPr>
        <w:t xml:space="preserve">Technical terms/tools referenced: </w:t>
      </w:r>
      <w:r>
        <w:t>Backup/recovery; Hybrid cloud; AWS IAM; S3; EC2; RDS; IAM role; VPC; Subnetting; Internet Gateway; Azure; GCP; DigitalOcean.</w:t>
      </w:r>
    </w:p>
    <w:p>
      <w:pPr>
        <w:pStyle w:val="Heading2"/>
        <w:spacing w:before="120" w:after="60"/>
      </w:pPr>
      <w:r>
        <w:t>1:37:21-1:40:32 - Deep dive: application security and security automation</w:t>
      </w:r>
    </w:p>
    <w:p>
      <w:pPr>
        <w:spacing w:after="60"/>
      </w:pPr>
      <w:r>
        <w:rPr>
          <w:b/>
        </w:rPr>
        <w:t xml:space="preserve">Summary: </w:t>
      </w:r>
      <w:r>
        <w:t>Application security focuses on secure SDLC, supply-chain risk, vulnerability identification and penetration testing. Security automation focuses on automated workflows, red/blue-team simulation and playbooks.</w:t>
      </w:r>
    </w:p>
    <w:p>
      <w:pPr>
        <w:pStyle w:val="Heading3"/>
        <w:spacing w:before="120" w:after="60"/>
      </w:pPr>
      <w:r>
        <w:t>Detailed notes</w:t>
      </w:r>
    </w:p>
    <w:p>
      <w:pPr>
        <w:pStyle w:val="ListBullet"/>
        <w:spacing w:after="60"/>
      </w:pPr>
      <w:r>
        <w:t>Application security begins with secure software lifecycle management.</w:t>
      </w:r>
    </w:p>
    <w:p>
      <w:pPr>
        <w:pStyle w:val="ListBullet"/>
        <w:spacing w:after="60"/>
      </w:pPr>
      <w:r>
        <w:t>The speaker returns to the npm compromise example: a developer clicked a phishing email, credentials leaked, and malicious code was pushed because credentials were trusted without enough verification.</w:t>
      </w:r>
    </w:p>
    <w:p>
      <w:pPr>
        <w:pStyle w:val="ListBullet"/>
        <w:spacing w:after="60"/>
      </w:pPr>
      <w:r>
        <w:t>Malicious injected JavaScript could run on systems, self-destruct and potentially make laptops part of a botnet used for attacks such as DoS.</w:t>
      </w:r>
    </w:p>
    <w:p>
      <w:pPr>
        <w:pStyle w:val="ListBullet"/>
        <w:spacing w:after="60"/>
      </w:pPr>
      <w:r>
        <w:t>Application security requires vulnerability identification, remediation and detection of suspicious commits or obfuscated/scrambled code.</w:t>
      </w:r>
    </w:p>
    <w:p>
      <w:pPr>
        <w:pStyle w:val="ListBullet"/>
        <w:spacing w:after="60"/>
      </w:pPr>
      <w:r>
        <w:t>Security policies for development teams are part of the domain.</w:t>
      </w:r>
    </w:p>
    <w:p>
      <w:pPr>
        <w:pStyle w:val="ListBullet"/>
        <w:spacing w:after="60"/>
      </w:pPr>
      <w:r>
        <w:t>The deliverable is a functional application-security framework validated through penetration testing and integrated into the broader Sentrix/Centrix cybersecurity grid.</w:t>
      </w:r>
    </w:p>
    <w:p>
      <w:pPr>
        <w:pStyle w:val="ListBullet"/>
        <w:spacing w:after="60"/>
      </w:pPr>
      <w:r>
        <w:t>Security automation includes automated incident-response workflows and simulated attack scenarios.</w:t>
      </w:r>
    </w:p>
    <w:p>
      <w:pPr>
        <w:pStyle w:val="ListBullet"/>
        <w:spacing w:after="60"/>
      </w:pPr>
      <w:r>
        <w:t>Because companies use different combinations of tools, there is no universal workflow; engineers often build custom automation for their tool mix.</w:t>
      </w:r>
    </w:p>
    <w:p>
      <w:pPr>
        <w:pStyle w:val="ListBullet"/>
        <w:spacing w:after="60"/>
      </w:pPr>
      <w:r>
        <w:t>Automation work includes SIEM alert integration, red-team attack simulation, custom SOAR playbooks, TheHive/Cortex integration, red-team/blue-team exercises and performance analysis.</w:t>
      </w:r>
    </w:p>
    <w:p>
      <w:pPr>
        <w:pStyle w:val="ListBullet"/>
        <w:spacing w:after="60"/>
      </w:pPr>
      <w:r>
        <w:t>Tools mentioned include Shuffle, TheHive, Cortex, Calendar and SIEM integrations.</w:t>
      </w:r>
    </w:p>
    <w:p>
      <w:pPr>
        <w:spacing w:after="60"/>
      </w:pPr>
      <w:r>
        <w:rPr>
          <w:b/>
        </w:rPr>
        <w:t xml:space="preserve">Technical terms/tools referenced: </w:t>
      </w:r>
      <w:r>
        <w:t>Secure SDLC; Supply-chain compromise; Suspicious commits; Obfuscated code; Penetration testing; SOAR; SIEM alert integration; Red team; Blue team; Shuffle; TheHive; Cortex.</w:t>
      </w:r>
    </w:p>
    <w:p>
      <w:pPr>
        <w:pStyle w:val="Heading2"/>
        <w:spacing w:before="120" w:after="60"/>
      </w:pPr>
      <w:r>
        <w:t>1:40:43-1:43:48 - Deep dive: GRC, backup/recovery and digital forensics</w:t>
      </w:r>
    </w:p>
    <w:p>
      <w:pPr>
        <w:spacing w:after="60"/>
      </w:pPr>
      <w:r>
        <w:rPr>
          <w:b/>
        </w:rPr>
        <w:t xml:space="preserve">Summary: </w:t>
      </w:r>
      <w:r>
        <w:t>The final domain group covers governance, risk and compliance, then backup, recovery and forensics. The speaker explains that compliance covers the whole operating process, not only code, and that backup/recovery is operationally difficult across multi-site systems, containers and databases.</w:t>
      </w:r>
    </w:p>
    <w:p>
      <w:pPr>
        <w:pStyle w:val="Heading3"/>
        <w:spacing w:before="120" w:after="60"/>
      </w:pPr>
      <w:r>
        <w:t>Detailed notes</w:t>
      </w:r>
    </w:p>
    <w:p>
      <w:pPr>
        <w:pStyle w:val="ListBullet"/>
        <w:spacing w:after="60"/>
      </w:pPr>
      <w:r>
        <w:t>GRC checks whether the organization is compliant end-to-end.</w:t>
      </w:r>
    </w:p>
    <w:p>
      <w:pPr>
        <w:pStyle w:val="ListBullet"/>
        <w:spacing w:after="60"/>
      </w:pPr>
      <w:r>
        <w:t>Compliance is not only about code; it includes operations, data handling, backup, endpoint security and process controls.</w:t>
      </w:r>
    </w:p>
    <w:p>
      <w:pPr>
        <w:pStyle w:val="ListBullet"/>
        <w:spacing w:after="60"/>
      </w:pPr>
      <w:r>
        <w:t>Different certifications and laws have different rules, such as GDPR, ISO frameworks and region-specific requirements.</w:t>
      </w:r>
    </w:p>
    <w:p>
      <w:pPr>
        <w:pStyle w:val="ListBullet"/>
        <w:spacing w:after="60"/>
      </w:pPr>
      <w:r>
        <w:t>Backup/recovery and forensics are described as a major headache because few tools can manage three-stage backups across separate offsite servers as an integrated process.</w:t>
      </w:r>
    </w:p>
    <w:p>
      <w:pPr>
        <w:pStyle w:val="ListBullet"/>
        <w:spacing w:after="60"/>
      </w:pPr>
      <w:r>
        <w:t>Companies often need to integrate multiple tools to achieve multi-site backup and recovery.</w:t>
      </w:r>
    </w:p>
    <w:p>
      <w:pPr>
        <w:pStyle w:val="ListBullet"/>
        <w:spacing w:after="60"/>
      </w:pPr>
      <w:r>
        <w:t>Container backups may be needed when containerized workloads are running.</w:t>
      </w:r>
    </w:p>
    <w:p>
      <w:pPr>
        <w:pStyle w:val="ListBullet"/>
        <w:spacing w:after="60"/>
      </w:pPr>
      <w:r>
        <w:t>Database backups are emphasized because databases update continuously.</w:t>
      </w:r>
    </w:p>
    <w:p>
      <w:pPr>
        <w:pStyle w:val="ListBullet"/>
        <w:spacing w:after="60"/>
      </w:pPr>
      <w:r>
        <w:t>The backup schedule depends on how much data loss the company can tolerate. If one week of data loss is acceptable, weekly backups may be enough; if 24-hour loss is not acceptable, the backup system must support that recovery need.</w:t>
      </w:r>
    </w:p>
    <w:p>
      <w:pPr>
        <w:pStyle w:val="ListBullet"/>
        <w:spacing w:after="60"/>
      </w:pPr>
      <w:r>
        <w:t>The speaker stresses that organizations cannot assume good architecture means they will never need backup; backup must be ready even if restoration is rarely required.</w:t>
      </w:r>
    </w:p>
    <w:p>
      <w:pPr>
        <w:pStyle w:val="ListBullet"/>
        <w:spacing w:after="60"/>
      </w:pPr>
      <w:r>
        <w:t>Tools mentioned include Restic, Autopsy, Sleuth Kit, Volatility, dd for disk imaging, Kibana for SOC integration, and project tools like Gantt/Grand project and Trello.</w:t>
      </w:r>
    </w:p>
    <w:p>
      <w:pPr>
        <w:spacing w:after="60"/>
      </w:pPr>
      <w:r>
        <w:rPr>
          <w:b/>
        </w:rPr>
        <w:t xml:space="preserve">Technical terms/tools referenced: </w:t>
      </w:r>
      <w:r>
        <w:t>GRC; GDPR; ISO; Backup schedule; RPO/RTO-style thinking; Offsite backup; Container backup; Database backup; Digital forensics; Restic; Autopsy; Sleuth Kit; Volatility; dd disk imaging; Kibana; Trello.</w:t>
      </w:r>
    </w:p>
    <w:p>
      <w:pPr>
        <w:pStyle w:val="Heading2"/>
        <w:spacing w:before="120" w:after="60"/>
      </w:pPr>
      <w:r>
        <w:t>1:43:48-1:44:34 - Spreadsheet demonstration and break instruction</w:t>
      </w:r>
    </w:p>
    <w:p>
      <w:pPr>
        <w:spacing w:after="60"/>
      </w:pPr>
      <w:r>
        <w:rPr>
          <w:b/>
        </w:rPr>
        <w:t xml:space="preserve">Summary: </w:t>
      </w:r>
      <w:r>
        <w:t>The speaker prepares to show an Excel sheet illustrating subdomains and tool breadth. A faculty/staff member interrupts to suggest a 15-minute break and says they will speak to the students afterward.</w:t>
      </w:r>
    </w:p>
    <w:p>
      <w:pPr>
        <w:pStyle w:val="Heading3"/>
        <w:spacing w:before="120" w:after="60"/>
      </w:pPr>
      <w:r>
        <w:t>Detailed notes</w:t>
      </w:r>
    </w:p>
    <w:p>
      <w:pPr>
        <w:pStyle w:val="ListBullet"/>
        <w:spacing w:after="60"/>
      </w:pPr>
      <w:r>
        <w:t>The speaker says they will show a spreadsheet to demonstrate how large the domain/tool matrix is.</w:t>
      </w:r>
    </w:p>
    <w:p>
      <w:pPr>
        <w:pStyle w:val="ListBullet"/>
        <w:spacing w:after="60"/>
      </w:pPr>
      <w:r>
        <w:t>The spreadsheet appears to contain subdomains and tool lists.</w:t>
      </w:r>
    </w:p>
    <w:p>
      <w:pPr>
        <w:pStyle w:val="ListBullet"/>
        <w:spacing w:after="60"/>
      </w:pPr>
      <w:r>
        <w:t>A faculty/staff member asks whether students have taken a break and suggests resuming at 11:45 after a 15-minute break.</w:t>
      </w:r>
    </w:p>
    <w:p>
      <w:pPr>
        <w:spacing w:after="60"/>
      </w:pPr>
      <w:r>
        <w:rPr>
          <w:b/>
        </w:rPr>
        <w:t xml:space="preserve">Technical terms/tools referenced: </w:t>
      </w:r>
      <w:r>
        <w:t>Subdomain/tool matrix; Domain research spreadsheet.</w:t>
      </w:r>
    </w:p>
    <w:p>
      <w:pPr>
        <w:spacing w:after="60"/>
      </w:pPr>
      <w:r>
        <w:br w:type="page"/>
      </w:r>
    </w:p>
    <w:p>
      <w:pPr>
        <w:pStyle w:val="Heading1"/>
        <w:spacing w:before="120" w:after="60"/>
      </w:pPr>
      <w:r>
        <w:t>Consolidated Technical Architecture Notes</w:t>
      </w:r>
    </w:p>
    <w:tbl>
      <w:tblPr>
        <w:tblStyle w:val="TableGrid"/>
        <w:tblW w:type="auto" w:w="0"/>
        <w:jc w:val="center"/>
        <w:tblLook w:firstColumn="1" w:firstRow="1" w:lastColumn="0" w:lastRow="0" w:noHBand="0" w:noVBand="1" w:val="04A0"/>
      </w:tblPr>
      <w:tblGrid>
        <w:gridCol w:w="5256"/>
        <w:gridCol w:w="5256"/>
      </w:tblGrid>
      <w:tr>
        <w:tc>
          <w:tcPr>
            <w:tcW w:type="dxa" w:w="5256"/>
            <w:shd w:fill="D9EAF7"/>
            <w:vAlign w:val="center"/>
            <w:tcMar>
              <w:top w:w="80" w:type="dxa"/>
              <w:start w:w="80" w:type="dxa"/>
              <w:bottom w:w="80" w:type="dxa"/>
              <w:end w:w="80" w:type="dxa"/>
            </w:tcMar>
          </w:tcPr>
          <w:p>
            <w:r>
              <w:rPr>
                <w:b/>
                <w:sz w:val="17"/>
              </w:rPr>
              <w:t>Architecture element</w:t>
            </w:r>
          </w:p>
        </w:tc>
        <w:tc>
          <w:tcPr>
            <w:tcW w:type="dxa" w:w="5256"/>
            <w:shd w:fill="D9EAF7"/>
            <w:vAlign w:val="center"/>
            <w:tcMar>
              <w:top w:w="80" w:type="dxa"/>
              <w:start w:w="80" w:type="dxa"/>
              <w:bottom w:w="80" w:type="dxa"/>
              <w:end w:w="80" w:type="dxa"/>
            </w:tcMar>
          </w:tcPr>
          <w:p>
            <w:r>
              <w:rPr>
                <w:b/>
                <w:sz w:val="17"/>
              </w:rPr>
              <w:t>Meaning in the session</w:t>
            </w:r>
          </w:p>
        </w:tc>
      </w:tr>
      <w:tr>
        <w:tc>
          <w:tcPr>
            <w:tcW w:type="dxa" w:w="5256"/>
            <w:vAlign w:val="top"/>
            <w:tcMar>
              <w:top w:w="80" w:type="dxa"/>
              <w:start w:w="80" w:type="dxa"/>
              <w:bottom w:w="80" w:type="dxa"/>
              <w:end w:w="80" w:type="dxa"/>
            </w:tcMar>
          </w:tcPr>
          <w:p>
            <w:pPr>
              <w:spacing w:after="0"/>
            </w:pPr>
            <w:r>
              <w:rPr>
                <w:sz w:val="16"/>
              </w:rPr>
              <w:t>Core platform model</w:t>
            </w:r>
          </w:p>
        </w:tc>
        <w:tc>
          <w:tcPr>
            <w:tcW w:type="dxa" w:w="5256"/>
            <w:vAlign w:val="top"/>
            <w:tcMar>
              <w:top w:w="80" w:type="dxa"/>
              <w:start w:w="80" w:type="dxa"/>
              <w:bottom w:w="80" w:type="dxa"/>
              <w:end w:w="80" w:type="dxa"/>
            </w:tcMar>
          </w:tcPr>
          <w:p>
            <w:pPr>
              <w:spacing w:after="0"/>
            </w:pPr>
            <w:r>
              <w:rPr>
                <w:sz w:val="16"/>
              </w:rPr>
              <w:t>A unified security grid/control plane that integrates open-source and enterprise tools instead of replacing them.</w:t>
            </w:r>
          </w:p>
        </w:tc>
      </w:tr>
      <w:tr>
        <w:tc>
          <w:tcPr>
            <w:tcW w:type="dxa" w:w="5256"/>
            <w:vAlign w:val="top"/>
            <w:tcMar>
              <w:top w:w="80" w:type="dxa"/>
              <w:start w:w="80" w:type="dxa"/>
              <w:bottom w:w="80" w:type="dxa"/>
              <w:end w:w="80" w:type="dxa"/>
            </w:tcMar>
          </w:tcPr>
          <w:p>
            <w:pPr>
              <w:spacing w:after="0"/>
            </w:pPr>
            <w:r>
              <w:rPr>
                <w:sz w:val="16"/>
              </w:rPr>
              <w:t>Action layer</w:t>
            </w:r>
          </w:p>
        </w:tc>
        <w:tc>
          <w:tcPr>
            <w:tcW w:type="dxa" w:w="5256"/>
            <w:vAlign w:val="top"/>
            <w:tcMar>
              <w:top w:w="80" w:type="dxa"/>
              <w:start w:w="80" w:type="dxa"/>
              <w:bottom w:w="80" w:type="dxa"/>
              <w:end w:w="80" w:type="dxa"/>
            </w:tcMar>
          </w:tcPr>
          <w:p>
            <w:pPr>
              <w:spacing w:after="0"/>
            </w:pPr>
            <w:r>
              <w:rPr>
                <w:sz w:val="16"/>
              </w:rPr>
              <w:t>Automated response, isolation and remediation across integrated security tools.</w:t>
            </w:r>
          </w:p>
        </w:tc>
      </w:tr>
      <w:tr>
        <w:tc>
          <w:tcPr>
            <w:tcW w:type="dxa" w:w="5256"/>
            <w:vAlign w:val="top"/>
            <w:tcMar>
              <w:top w:w="80" w:type="dxa"/>
              <w:start w:w="80" w:type="dxa"/>
              <w:bottom w:w="80" w:type="dxa"/>
              <w:end w:w="80" w:type="dxa"/>
            </w:tcMar>
          </w:tcPr>
          <w:p>
            <w:pPr>
              <w:spacing w:after="0"/>
            </w:pPr>
            <w:r>
              <w:rPr>
                <w:sz w:val="16"/>
              </w:rPr>
              <w:t>Intelligence layer</w:t>
            </w:r>
          </w:p>
        </w:tc>
        <w:tc>
          <w:tcPr>
            <w:tcW w:type="dxa" w:w="5256"/>
            <w:vAlign w:val="top"/>
            <w:tcMar>
              <w:top w:w="80" w:type="dxa"/>
              <w:start w:w="80" w:type="dxa"/>
              <w:bottom w:w="80" w:type="dxa"/>
              <w:end w:w="80" w:type="dxa"/>
            </w:tcMar>
          </w:tcPr>
          <w:p>
            <w:pPr>
              <w:spacing w:after="0"/>
            </w:pPr>
            <w:r>
              <w:rPr>
                <w:sz w:val="16"/>
              </w:rPr>
              <w:t>AI-assisted detection and path selection across heterogeneous systems, reducing manual analysis.</w:t>
            </w:r>
          </w:p>
        </w:tc>
      </w:tr>
      <w:tr>
        <w:tc>
          <w:tcPr>
            <w:tcW w:type="dxa" w:w="5256"/>
            <w:vAlign w:val="top"/>
            <w:tcMar>
              <w:top w:w="80" w:type="dxa"/>
              <w:start w:w="80" w:type="dxa"/>
              <w:bottom w:w="80" w:type="dxa"/>
              <w:end w:w="80" w:type="dxa"/>
            </w:tcMar>
          </w:tcPr>
          <w:p>
            <w:pPr>
              <w:spacing w:after="0"/>
            </w:pPr>
            <w:r>
              <w:rPr>
                <w:sz w:val="16"/>
              </w:rPr>
              <w:t>Aggregation layer</w:t>
            </w:r>
          </w:p>
        </w:tc>
        <w:tc>
          <w:tcPr>
            <w:tcW w:type="dxa" w:w="5256"/>
            <w:vAlign w:val="top"/>
            <w:tcMar>
              <w:top w:w="80" w:type="dxa"/>
              <w:start w:w="80" w:type="dxa"/>
              <w:bottom w:w="80" w:type="dxa"/>
              <w:end w:w="80" w:type="dxa"/>
            </w:tcMar>
          </w:tcPr>
          <w:p>
            <w:pPr>
              <w:spacing w:after="0"/>
            </w:pPr>
            <w:r>
              <w:rPr>
                <w:sz w:val="16"/>
              </w:rPr>
              <w:t>Collection and normalization of events, telemetry and logs from tools/domains.</w:t>
            </w:r>
          </w:p>
        </w:tc>
      </w:tr>
      <w:tr>
        <w:tc>
          <w:tcPr>
            <w:tcW w:type="dxa" w:w="5256"/>
            <w:vAlign w:val="top"/>
            <w:tcMar>
              <w:top w:w="80" w:type="dxa"/>
              <w:start w:w="80" w:type="dxa"/>
              <w:bottom w:w="80" w:type="dxa"/>
              <w:end w:w="80" w:type="dxa"/>
            </w:tcMar>
          </w:tcPr>
          <w:p>
            <w:pPr>
              <w:spacing w:after="0"/>
            </w:pPr>
            <w:r>
              <w:rPr>
                <w:sz w:val="16"/>
              </w:rPr>
              <w:t>Domain model</w:t>
            </w:r>
          </w:p>
        </w:tc>
        <w:tc>
          <w:tcPr>
            <w:tcW w:type="dxa" w:w="5256"/>
            <w:vAlign w:val="top"/>
            <w:tcMar>
              <w:top w:w="80" w:type="dxa"/>
              <w:start w:w="80" w:type="dxa"/>
              <w:bottom w:w="80" w:type="dxa"/>
              <w:end w:w="80" w:type="dxa"/>
            </w:tcMar>
          </w:tcPr>
          <w:p>
            <w:pPr>
              <w:spacing w:after="0"/>
            </w:pPr>
            <w:r>
              <w:rPr>
                <w:sz w:val="16"/>
              </w:rPr>
              <w:t>19 domains, 178 subdomains and roughly 15 tools per subdomain are mentioned; the first/current implemented set includes around 10 core domains.</w:t>
            </w:r>
          </w:p>
        </w:tc>
      </w:tr>
      <w:tr>
        <w:tc>
          <w:tcPr>
            <w:tcW w:type="dxa" w:w="5256"/>
            <w:vAlign w:val="top"/>
            <w:tcMar>
              <w:top w:w="80" w:type="dxa"/>
              <w:start w:w="80" w:type="dxa"/>
              <w:bottom w:w="80" w:type="dxa"/>
              <w:end w:w="80" w:type="dxa"/>
            </w:tcMar>
          </w:tcPr>
          <w:p>
            <w:pPr>
              <w:spacing w:after="0"/>
            </w:pPr>
            <w:r>
              <w:rPr>
                <w:sz w:val="16"/>
              </w:rPr>
              <w:t>Tool strategy</w:t>
            </w:r>
          </w:p>
        </w:tc>
        <w:tc>
          <w:tcPr>
            <w:tcW w:type="dxa" w:w="5256"/>
            <w:vAlign w:val="top"/>
            <w:tcMar>
              <w:top w:w="80" w:type="dxa"/>
              <w:start w:w="80" w:type="dxa"/>
              <w:bottom w:w="80" w:type="dxa"/>
              <w:end w:w="80" w:type="dxa"/>
            </w:tcMar>
          </w:tcPr>
          <w:p>
            <w:pPr>
              <w:spacing w:after="0"/>
            </w:pPr>
            <w:r>
              <w:rPr>
                <w:sz w:val="16"/>
              </w:rPr>
              <w:t>Vendor agnostic and open-source-first; existing tools such as Wazuh, Wireshark, pfSense, ELK and others can remain in use.</w:t>
            </w:r>
          </w:p>
        </w:tc>
      </w:tr>
      <w:tr>
        <w:tc>
          <w:tcPr>
            <w:tcW w:type="dxa" w:w="5256"/>
            <w:vAlign w:val="top"/>
            <w:tcMar>
              <w:top w:w="80" w:type="dxa"/>
              <w:start w:w="80" w:type="dxa"/>
              <w:bottom w:w="80" w:type="dxa"/>
              <w:end w:w="80" w:type="dxa"/>
            </w:tcMar>
          </w:tcPr>
          <w:p>
            <w:pPr>
              <w:spacing w:after="0"/>
            </w:pPr>
            <w:r>
              <w:rPr>
                <w:sz w:val="16"/>
              </w:rPr>
              <w:t>Operational goal</w:t>
            </w:r>
          </w:p>
        </w:tc>
        <w:tc>
          <w:tcPr>
            <w:tcW w:type="dxa" w:w="5256"/>
            <w:vAlign w:val="top"/>
            <w:tcMar>
              <w:top w:w="80" w:type="dxa"/>
              <w:start w:w="80" w:type="dxa"/>
              <w:bottom w:w="80" w:type="dxa"/>
              <w:end w:w="80" w:type="dxa"/>
            </w:tcMar>
          </w:tcPr>
          <w:p>
            <w:pPr>
              <w:spacing w:after="0"/>
            </w:pPr>
            <w:r>
              <w:rPr>
                <w:sz w:val="16"/>
              </w:rPr>
              <w:t>Reduce tool-management overhead so analysts can focus on actual security decisions.</w:t>
            </w:r>
          </w:p>
        </w:tc>
      </w:tr>
    </w:tbl>
    <w:p>
      <w:pPr>
        <w:pStyle w:val="Heading1"/>
        <w:spacing w:before="120" w:after="60"/>
      </w:pPr>
      <w:r>
        <w:t>Domain-to-Tool Map Mentioned in the Session</w:t>
      </w:r>
    </w:p>
    <w:tbl>
      <w:tblPr>
        <w:tblStyle w:val="TableGrid"/>
        <w:tblW w:type="auto" w:w="0"/>
        <w:jc w:val="center"/>
        <w:tblLook w:firstColumn="1" w:firstRow="1" w:lastColumn="0" w:lastRow="0" w:noHBand="0" w:noVBand="1" w:val="04A0"/>
      </w:tblPr>
      <w:tblGrid>
        <w:gridCol w:w="5256"/>
        <w:gridCol w:w="5256"/>
      </w:tblGrid>
      <w:tr>
        <w:tc>
          <w:tcPr>
            <w:tcW w:type="dxa" w:w="5256"/>
            <w:shd w:fill="D9EAF7"/>
            <w:vAlign w:val="center"/>
            <w:tcMar>
              <w:top w:w="80" w:type="dxa"/>
              <w:start w:w="80" w:type="dxa"/>
              <w:bottom w:w="80" w:type="dxa"/>
              <w:end w:w="80" w:type="dxa"/>
            </w:tcMar>
          </w:tcPr>
          <w:p>
            <w:r>
              <w:rPr>
                <w:b/>
                <w:sz w:val="17"/>
              </w:rPr>
              <w:t>Domain</w:t>
            </w:r>
          </w:p>
        </w:tc>
        <w:tc>
          <w:tcPr>
            <w:tcW w:type="dxa" w:w="5256"/>
            <w:shd w:fill="D9EAF7"/>
            <w:vAlign w:val="center"/>
            <w:tcMar>
              <w:top w:w="80" w:type="dxa"/>
              <w:start w:w="80" w:type="dxa"/>
              <w:bottom w:w="80" w:type="dxa"/>
              <w:end w:w="80" w:type="dxa"/>
            </w:tcMar>
          </w:tcPr>
          <w:p>
            <w:r>
              <w:rPr>
                <w:b/>
                <w:sz w:val="17"/>
              </w:rPr>
              <w:t>Tools / concepts referenced</w:t>
            </w:r>
          </w:p>
        </w:tc>
      </w:tr>
      <w:tr>
        <w:tc>
          <w:tcPr>
            <w:tcW w:type="dxa" w:w="5256"/>
            <w:vAlign w:val="top"/>
            <w:tcMar>
              <w:top w:w="80" w:type="dxa"/>
              <w:start w:w="80" w:type="dxa"/>
              <w:bottom w:w="80" w:type="dxa"/>
              <w:end w:w="80" w:type="dxa"/>
            </w:tcMar>
          </w:tcPr>
          <w:p>
            <w:pPr>
              <w:spacing w:after="0"/>
            </w:pPr>
            <w:r>
              <w:rPr>
                <w:sz w:val="16"/>
              </w:rPr>
              <w:t>Perimeter security</w:t>
            </w:r>
          </w:p>
        </w:tc>
        <w:tc>
          <w:tcPr>
            <w:tcW w:type="dxa" w:w="5256"/>
            <w:vAlign w:val="top"/>
            <w:tcMar>
              <w:top w:w="80" w:type="dxa"/>
              <w:start w:w="80" w:type="dxa"/>
              <w:bottom w:w="80" w:type="dxa"/>
              <w:end w:w="80" w:type="dxa"/>
            </w:tcMar>
          </w:tcPr>
          <w:p>
            <w:pPr>
              <w:spacing w:after="0"/>
            </w:pPr>
            <w:r>
              <w:rPr>
                <w:sz w:val="16"/>
              </w:rPr>
              <w:t>pfSense; ModSecurity; Nginx; Apache; Suricata/Snort; Nmap; SQLMap; Hydra; ELK/Kibana reporting.</w:t>
            </w:r>
          </w:p>
        </w:tc>
      </w:tr>
      <w:tr>
        <w:tc>
          <w:tcPr>
            <w:tcW w:type="dxa" w:w="5256"/>
            <w:vAlign w:val="top"/>
            <w:tcMar>
              <w:top w:w="80" w:type="dxa"/>
              <w:start w:w="80" w:type="dxa"/>
              <w:bottom w:w="80" w:type="dxa"/>
              <w:end w:w="80" w:type="dxa"/>
            </w:tcMar>
          </w:tcPr>
          <w:p>
            <w:pPr>
              <w:spacing w:after="0"/>
            </w:pPr>
            <w:r>
              <w:rPr>
                <w:sz w:val="16"/>
              </w:rPr>
              <w:t>Threat detection / SIEM</w:t>
            </w:r>
          </w:p>
        </w:tc>
        <w:tc>
          <w:tcPr>
            <w:tcW w:type="dxa" w:w="5256"/>
            <w:vAlign w:val="top"/>
            <w:tcMar>
              <w:top w:w="80" w:type="dxa"/>
              <w:start w:w="80" w:type="dxa"/>
              <w:bottom w:w="80" w:type="dxa"/>
              <w:end w:w="80" w:type="dxa"/>
            </w:tcMar>
          </w:tcPr>
          <w:p>
            <w:pPr>
              <w:spacing w:after="0"/>
            </w:pPr>
            <w:r>
              <w:rPr>
                <w:sz w:val="16"/>
              </w:rPr>
              <w:t>Wazuh/Vazu; ELK Stack; Elasticsearch; Logstash; Kibana; MISP.</w:t>
            </w:r>
          </w:p>
        </w:tc>
      </w:tr>
      <w:tr>
        <w:tc>
          <w:tcPr>
            <w:tcW w:type="dxa" w:w="5256"/>
            <w:vAlign w:val="top"/>
            <w:tcMar>
              <w:top w:w="80" w:type="dxa"/>
              <w:start w:w="80" w:type="dxa"/>
              <w:bottom w:w="80" w:type="dxa"/>
              <w:end w:w="80" w:type="dxa"/>
            </w:tcMar>
          </w:tcPr>
          <w:p>
            <w:pPr>
              <w:spacing w:after="0"/>
            </w:pPr>
            <w:r>
              <w:rPr>
                <w:sz w:val="16"/>
              </w:rPr>
              <w:t>Endpoint security</w:t>
            </w:r>
          </w:p>
        </w:tc>
        <w:tc>
          <w:tcPr>
            <w:tcW w:type="dxa" w:w="5256"/>
            <w:vAlign w:val="top"/>
            <w:tcMar>
              <w:top w:w="80" w:type="dxa"/>
              <w:start w:w="80" w:type="dxa"/>
              <w:bottom w:w="80" w:type="dxa"/>
              <w:end w:w="80" w:type="dxa"/>
            </w:tcMar>
          </w:tcPr>
          <w:p>
            <w:pPr>
              <w:spacing w:after="0"/>
            </w:pPr>
            <w:r>
              <w:rPr>
                <w:sz w:val="16"/>
              </w:rPr>
              <w:t>ClamAV/CLAM; osquery; Wazuh/Vazu agent; endpoint runtime policies; malware/quarantine workflows.</w:t>
            </w:r>
          </w:p>
        </w:tc>
      </w:tr>
      <w:tr>
        <w:tc>
          <w:tcPr>
            <w:tcW w:type="dxa" w:w="5256"/>
            <w:vAlign w:val="top"/>
            <w:tcMar>
              <w:top w:w="80" w:type="dxa"/>
              <w:start w:w="80" w:type="dxa"/>
              <w:bottom w:w="80" w:type="dxa"/>
              <w:end w:w="80" w:type="dxa"/>
            </w:tcMar>
          </w:tcPr>
          <w:p>
            <w:pPr>
              <w:spacing w:after="0"/>
            </w:pPr>
            <w:r>
              <w:rPr>
                <w:sz w:val="16"/>
              </w:rPr>
              <w:t>Network security</w:t>
            </w:r>
          </w:p>
        </w:tc>
        <w:tc>
          <w:tcPr>
            <w:tcW w:type="dxa" w:w="5256"/>
            <w:vAlign w:val="top"/>
            <w:tcMar>
              <w:top w:w="80" w:type="dxa"/>
              <w:start w:w="80" w:type="dxa"/>
              <w:bottom w:w="80" w:type="dxa"/>
              <w:end w:w="80" w:type="dxa"/>
            </w:tcMar>
          </w:tcPr>
          <w:p>
            <w:pPr>
              <w:spacing w:after="0"/>
            </w:pPr>
            <w:r>
              <w:rPr>
                <w:sz w:val="16"/>
              </w:rPr>
              <w:t>WireGuard VPN; PacketFence; Pomerium/Pomerium-like segmentation; VLANs; VPN; encrypted traffic.</w:t>
            </w:r>
          </w:p>
        </w:tc>
      </w:tr>
      <w:tr>
        <w:tc>
          <w:tcPr>
            <w:tcW w:type="dxa" w:w="5256"/>
            <w:vAlign w:val="top"/>
            <w:tcMar>
              <w:top w:w="80" w:type="dxa"/>
              <w:start w:w="80" w:type="dxa"/>
              <w:bottom w:w="80" w:type="dxa"/>
              <w:end w:w="80" w:type="dxa"/>
            </w:tcMar>
          </w:tcPr>
          <w:p>
            <w:pPr>
              <w:spacing w:after="0"/>
            </w:pPr>
            <w:r>
              <w:rPr>
                <w:sz w:val="16"/>
              </w:rPr>
              <w:t>IAM</w:t>
            </w:r>
          </w:p>
        </w:tc>
        <w:tc>
          <w:tcPr>
            <w:tcW w:type="dxa" w:w="5256"/>
            <w:vAlign w:val="top"/>
            <w:tcMar>
              <w:top w:w="80" w:type="dxa"/>
              <w:start w:w="80" w:type="dxa"/>
              <w:bottom w:w="80" w:type="dxa"/>
              <w:end w:w="80" w:type="dxa"/>
            </w:tcMar>
          </w:tcPr>
          <w:p>
            <w:pPr>
              <w:spacing w:after="0"/>
            </w:pPr>
            <w:r>
              <w:rPr>
                <w:sz w:val="16"/>
              </w:rPr>
              <w:t>SSO; MFA; RBAC; LDAP; PAM; OAuth; SAML; password policies; access reviews.</w:t>
            </w:r>
          </w:p>
        </w:tc>
      </w:tr>
      <w:tr>
        <w:tc>
          <w:tcPr>
            <w:tcW w:type="dxa" w:w="5256"/>
            <w:vAlign w:val="top"/>
            <w:tcMar>
              <w:top w:w="80" w:type="dxa"/>
              <w:start w:w="80" w:type="dxa"/>
              <w:bottom w:w="80" w:type="dxa"/>
              <w:end w:w="80" w:type="dxa"/>
            </w:tcMar>
          </w:tcPr>
          <w:p>
            <w:pPr>
              <w:spacing w:after="0"/>
            </w:pPr>
            <w:r>
              <w:rPr>
                <w:sz w:val="16"/>
              </w:rPr>
              <w:t>Cloud security</w:t>
            </w:r>
          </w:p>
        </w:tc>
        <w:tc>
          <w:tcPr>
            <w:tcW w:type="dxa" w:w="5256"/>
            <w:vAlign w:val="top"/>
            <w:tcMar>
              <w:top w:w="80" w:type="dxa"/>
              <w:start w:w="80" w:type="dxa"/>
              <w:bottom w:w="80" w:type="dxa"/>
              <w:end w:w="80" w:type="dxa"/>
            </w:tcMar>
          </w:tcPr>
          <w:p>
            <w:pPr>
              <w:spacing w:after="0"/>
            </w:pPr>
            <w:r>
              <w:rPr>
                <w:sz w:val="16"/>
              </w:rPr>
              <w:t>AWS IAM; S3; EC2; RDS; VPC; subnetting; internet gateways; Azure; GCP; DigitalOcean.</w:t>
            </w:r>
          </w:p>
        </w:tc>
      </w:tr>
      <w:tr>
        <w:tc>
          <w:tcPr>
            <w:tcW w:type="dxa" w:w="5256"/>
            <w:vAlign w:val="top"/>
            <w:tcMar>
              <w:top w:w="80" w:type="dxa"/>
              <w:start w:w="80" w:type="dxa"/>
              <w:bottom w:w="80" w:type="dxa"/>
              <w:end w:w="80" w:type="dxa"/>
            </w:tcMar>
          </w:tcPr>
          <w:p>
            <w:pPr>
              <w:spacing w:after="0"/>
            </w:pPr>
            <w:r>
              <w:rPr>
                <w:sz w:val="16"/>
              </w:rPr>
              <w:t>Application security</w:t>
            </w:r>
          </w:p>
        </w:tc>
        <w:tc>
          <w:tcPr>
            <w:tcW w:type="dxa" w:w="5256"/>
            <w:vAlign w:val="top"/>
            <w:tcMar>
              <w:top w:w="80" w:type="dxa"/>
              <w:start w:w="80" w:type="dxa"/>
              <w:bottom w:w="80" w:type="dxa"/>
              <w:end w:w="80" w:type="dxa"/>
            </w:tcMar>
          </w:tcPr>
          <w:p>
            <w:pPr>
              <w:spacing w:after="0"/>
            </w:pPr>
            <w:r>
              <w:rPr>
                <w:sz w:val="16"/>
              </w:rPr>
              <w:t>Secure SDLC; supply-chain checks; suspicious commit detection; penetration testing; policy enforcement.</w:t>
            </w:r>
          </w:p>
        </w:tc>
      </w:tr>
      <w:tr>
        <w:tc>
          <w:tcPr>
            <w:tcW w:type="dxa" w:w="5256"/>
            <w:vAlign w:val="top"/>
            <w:tcMar>
              <w:top w:w="80" w:type="dxa"/>
              <w:start w:w="80" w:type="dxa"/>
              <w:bottom w:w="80" w:type="dxa"/>
              <w:end w:w="80" w:type="dxa"/>
            </w:tcMar>
          </w:tcPr>
          <w:p>
            <w:pPr>
              <w:spacing w:after="0"/>
            </w:pPr>
            <w:r>
              <w:rPr>
                <w:sz w:val="16"/>
              </w:rPr>
              <w:t>Security automation</w:t>
            </w:r>
          </w:p>
        </w:tc>
        <w:tc>
          <w:tcPr>
            <w:tcW w:type="dxa" w:w="5256"/>
            <w:vAlign w:val="top"/>
            <w:tcMar>
              <w:top w:w="80" w:type="dxa"/>
              <w:start w:w="80" w:type="dxa"/>
              <w:bottom w:w="80" w:type="dxa"/>
              <w:end w:w="80" w:type="dxa"/>
            </w:tcMar>
          </w:tcPr>
          <w:p>
            <w:pPr>
              <w:spacing w:after="0"/>
            </w:pPr>
            <w:r>
              <w:rPr>
                <w:sz w:val="16"/>
              </w:rPr>
              <w:t>Shuffle; TheHive; Cortex; SIEM integrations; red-team/blue-team playbooks.</w:t>
            </w:r>
          </w:p>
        </w:tc>
      </w:tr>
      <w:tr>
        <w:tc>
          <w:tcPr>
            <w:tcW w:type="dxa" w:w="5256"/>
            <w:vAlign w:val="top"/>
            <w:tcMar>
              <w:top w:w="80" w:type="dxa"/>
              <w:start w:w="80" w:type="dxa"/>
              <w:bottom w:w="80" w:type="dxa"/>
              <w:end w:w="80" w:type="dxa"/>
            </w:tcMar>
          </w:tcPr>
          <w:p>
            <w:pPr>
              <w:spacing w:after="0"/>
            </w:pPr>
            <w:r>
              <w:rPr>
                <w:sz w:val="16"/>
              </w:rPr>
              <w:t>GRC</w:t>
            </w:r>
          </w:p>
        </w:tc>
        <w:tc>
          <w:tcPr>
            <w:tcW w:type="dxa" w:w="5256"/>
            <w:vAlign w:val="top"/>
            <w:tcMar>
              <w:top w:w="80" w:type="dxa"/>
              <w:start w:w="80" w:type="dxa"/>
              <w:bottom w:w="80" w:type="dxa"/>
              <w:end w:w="80" w:type="dxa"/>
            </w:tcMar>
          </w:tcPr>
          <w:p>
            <w:pPr>
              <w:spacing w:after="0"/>
            </w:pPr>
            <w:r>
              <w:rPr>
                <w:sz w:val="16"/>
              </w:rPr>
              <w:t>Compliance mapping for GDPR, ISO and region/industry-specific requirements; process-level and data-handling controls.</w:t>
            </w:r>
          </w:p>
        </w:tc>
      </w:tr>
      <w:tr>
        <w:tc>
          <w:tcPr>
            <w:tcW w:type="dxa" w:w="5256"/>
            <w:vAlign w:val="top"/>
            <w:tcMar>
              <w:top w:w="80" w:type="dxa"/>
              <w:start w:w="80" w:type="dxa"/>
              <w:bottom w:w="80" w:type="dxa"/>
              <w:end w:w="80" w:type="dxa"/>
            </w:tcMar>
          </w:tcPr>
          <w:p>
            <w:pPr>
              <w:spacing w:after="0"/>
            </w:pPr>
            <w:r>
              <w:rPr>
                <w:sz w:val="16"/>
              </w:rPr>
              <w:t>Backup/recovery/forensics</w:t>
            </w:r>
          </w:p>
        </w:tc>
        <w:tc>
          <w:tcPr>
            <w:tcW w:type="dxa" w:w="5256"/>
            <w:vAlign w:val="top"/>
            <w:tcMar>
              <w:top w:w="80" w:type="dxa"/>
              <w:start w:w="80" w:type="dxa"/>
              <w:bottom w:w="80" w:type="dxa"/>
              <w:end w:w="80" w:type="dxa"/>
            </w:tcMar>
          </w:tcPr>
          <w:p>
            <w:pPr>
              <w:spacing w:after="0"/>
            </w:pPr>
            <w:r>
              <w:rPr>
                <w:sz w:val="16"/>
              </w:rPr>
              <w:t>Restic; Autopsy; Sleuth Kit; Volatility; dd disk imaging; Kibana; Trello/project tracking.</w:t>
            </w:r>
          </w:p>
        </w:tc>
      </w:tr>
    </w:tbl>
    <w:p>
      <w:pPr>
        <w:pStyle w:val="Heading1"/>
        <w:spacing w:before="120" w:after="60"/>
      </w:pPr>
      <w:r>
        <w:t>Action Items / Follow-up Study Areas</w:t>
      </w:r>
    </w:p>
    <w:p>
      <w:pPr>
        <w:pStyle w:val="ListBullet"/>
        <w:spacing w:after="60"/>
      </w:pPr>
      <w:r>
        <w:t>Clarify final product naming: Sentrix, Centrix, Centric and Centax appear in the transcript. Standardize one name for future documentation.</w:t>
      </w:r>
    </w:p>
    <w:p>
      <w:pPr>
        <w:pStyle w:val="ListBullet"/>
        <w:spacing w:after="60"/>
      </w:pPr>
      <w:r>
        <w:t>Clarify whether the “P” mentioned during Q&amp;A means prototype, MVP, proof-of-concept or another project artifact.</w:t>
      </w:r>
    </w:p>
    <w:p>
      <w:pPr>
        <w:pStyle w:val="ListBullet"/>
        <w:spacing w:after="60"/>
      </w:pPr>
      <w:r>
        <w:t>Prepare a clean domain matrix showing 19 domains, 178 subdomains, tools per subdomain, implemented status and ownership.</w:t>
      </w:r>
    </w:p>
    <w:p>
      <w:pPr>
        <w:pStyle w:val="ListBullet"/>
        <w:spacing w:after="60"/>
      </w:pPr>
      <w:r>
        <w:t>Create beginner-friendly notes explaining the difference between SIEM, SOAR, EDR/endpoint security, WAF, IDS/IPS, IAM, PAM and GRC.</w:t>
      </w:r>
    </w:p>
    <w:p>
      <w:pPr>
        <w:pStyle w:val="ListBullet"/>
        <w:spacing w:after="60"/>
      </w:pPr>
      <w:r>
        <w:t>For students/interns, use the domain breakdown as a learning path: networking basics, Linux, cloud fundamentals, IAM, log analysis, SIEM, offensive testing basics and security documentation.</w:t>
      </w:r>
    </w:p>
    <w:p>
      <w:pPr>
        <w:pStyle w:val="ListBullet"/>
        <w:spacing w:after="60"/>
      </w:pPr>
      <w:r>
        <w:t>For demos, select one domain such as perimeter security and show end-to-end flow: simulate attack -&gt; collect logs -&gt; correlate -&gt; alert -&gt; automated response -&gt; report.</w:t>
      </w:r>
    </w:p>
    <w:p>
      <w:pPr>
        <w:pStyle w:val="Heading1"/>
        <w:spacing w:before="120" w:after="60"/>
      </w:pPr>
      <w:r>
        <w:t>Transcript Quality Notes</w:t>
      </w:r>
    </w:p>
    <w:p>
      <w:pPr>
        <w:pStyle w:val="ListBullet"/>
        <w:spacing w:after="60"/>
      </w:pPr>
      <w:r>
        <w:t>The transcript contains several long mute/break intervals, so the summary does not invent content for those gaps.</w:t>
      </w:r>
    </w:p>
    <w:p>
      <w:pPr>
        <w:pStyle w:val="ListBullet"/>
        <w:spacing w:after="60"/>
      </w:pPr>
      <w:r>
        <w:t>Several technical terms are inconsistently transcribed. Likely terms are retained contextually where clear, but ambiguous terms are noted rather than silently corrected.</w:t>
      </w:r>
    </w:p>
    <w:p>
      <w:pPr>
        <w:pStyle w:val="ListBullet"/>
        <w:spacing w:after="60"/>
      </w:pPr>
      <w:r>
        <w:t>The speaker uses examples conversationally. This document organizes them into technical notes while preserving their meaning.</w:t>
      </w:r>
    </w:p>
    <w:p>
      <w:pPr>
        <w:pStyle w:val="ListBullet"/>
        <w:spacing w:after="60"/>
      </w:pPr>
      <w:r>
        <w:t>Any numbers such as 150 tools, 2,000+ tools, 19 domains and 178 subdomains are retained as stated in the transcript and should be verified against the project’s official documentation before publication.</w:t>
      </w:r>
    </w:p>
    <w:sectPr w:rsidR="00FC693F" w:rsidRPr="0006063C" w:rsidSect="00034616">
      <w:headerReference w:type="default" r:id="rId9"/>
      <w:footerReference w:type="default" r:id="rId10"/>
      <w:pgSz w:w="12240" w:h="15840"/>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Generated from uploaded transcript; summary follows timestamp flow, not verbatim wording.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b/>
        <w:sz w:val="16"/>
      </w:rPr>
      <w:t>Sentrix/Centrix Meeting - Timestamped Technical Summary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eastAsia="Calibr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