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60" w:line="520" w:lineRule="exact"/>
      </w:pPr>
      <w:r>
        <w:rPr>
          <w:rFonts w:ascii="Arial" w:hAnsi="Arial"/>
          <w:b w:val="0"/>
          <w:color w:val="0A0A0A"/>
          <w:sz w:val="44"/>
        </w:rPr>
        <w:t>Adam Robinson</w:t>
      </w:r>
    </w:p>
    <w:p>
      <w:pPr>
        <w:keepNext w:val="0"/>
        <w:widowControl/>
        <w:spacing w:before="0" w:after="60" w:line="260" w:lineRule="exact"/>
      </w:pPr>
      <w:r>
        <w:rPr>
          <w:rFonts w:ascii="Arial" w:hAnsi="Arial"/>
          <w:b w:val="0"/>
          <w:color w:val="2A7A7A"/>
          <w:sz w:val="18"/>
        </w:rPr>
        <w:t>SENIOR SOFTWARE ENGINEER &amp; TECHNICAL LEAD</w:t>
      </w:r>
    </w:p>
    <w:p>
      <w:pPr>
        <w:keepNext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Providence, RI · Remote</w:t>
      </w:r>
    </w:p>
    <w:p>
      <w:pPr>
        <w:spacing w:after="100"/>
      </w:pPr>
      <w:hyperlink r:id="rId9">
        <w:r>
          <w:rPr>
            <w:color w:val="555555"/>
            <w:sz w:val="18"/>
          </w:rPr>
          <w:t>adamrobinson.tech</w:t>
        </w:r>
      </w:hyperlink>
      <w:r>
        <w:t xml:space="preserve"> · </w:t>
      </w:r>
      <w:hyperlink r:id="rId10">
        <w:r>
          <w:rPr>
            <w:color w:val="555555"/>
            <w:sz w:val="18"/>
          </w:rPr>
          <w:t>GitHub</w:t>
        </w:r>
      </w:hyperlink>
      <w:r>
        <w:t xml:space="preserve"> · </w:t>
      </w:r>
      <w:hyperlink r:id="rId11">
        <w:r>
          <w:rPr>
            <w:color w:val="555555"/>
            <w:sz w:val="18"/>
          </w:rPr>
          <w:t>LinkedIn</w:t>
        </w:r>
      </w:hyperlink>
      <w:r>
        <w:t xml:space="preserve"> · </w:t>
      </w:r>
      <w:hyperlink r:id="rId12">
        <w:r>
          <w:rPr>
            <w:color w:val="555555"/>
            <w:sz w:val="18"/>
          </w:rPr>
          <w:t>adam@adamrobinson.tech</w:t>
        </w:r>
      </w:hyperlink>
    </w:p>
    <w:p>
      <w:pPr>
        <w:pStyle w:val="Heading1"/>
        <w:keepNext/>
        <w:widowControl/>
        <w:spacing w:before="240" w:after="120" w:line="240" w:lineRule="exact"/>
      </w:pPr>
      <w:r>
        <w:rPr>
          <w:rFonts w:ascii="Arial" w:hAnsi="Arial"/>
          <w:b/>
          <w:color w:val="2A7A7A"/>
          <w:sz w:val="18"/>
        </w:rPr>
        <w:t>Professional Summary</w:t>
      </w:r>
    </w:p>
    <w:p>
      <w:pPr>
        <w:keepNext w:val="0"/>
        <w:widowControl/>
        <w:spacing w:before="0" w:after="100" w:line="270" w:lineRule="exact"/>
      </w:pPr>
      <w:r>
        <w:rPr>
          <w:rFonts w:ascii="Arial" w:hAnsi="Arial"/>
          <w:b w:val="0"/>
          <w:color w:val="0A0A0A"/>
          <w:sz w:val="20"/>
        </w:rPr>
        <w:t>Solutions-focused technical leader with 15+ years of experience translating complex business and operational needs into production software, platform architecture, and modernization plans. Trusted across 15+ embedded client engagements in fintech, healthcare, industrial technology, insurance, and enterprise environments. Combines systems thinking, stakeholder discovery, technical decision-making, and cross-functional delivery with enough hands-on depth to guide implementation, resolve ambiguity, and carry solutions into production.</w:t>
      </w:r>
    </w:p>
    <w:p>
      <w:pPr>
        <w:pStyle w:val="Heading1"/>
        <w:keepNext/>
        <w:widowControl/>
        <w:spacing w:before="240" w:after="120" w:line="240" w:lineRule="exact"/>
      </w:pPr>
      <w:r>
        <w:rPr>
          <w:rFonts w:ascii="Arial" w:hAnsi="Arial"/>
          <w:b/>
          <w:color w:val="2A7A7A"/>
          <w:sz w:val="18"/>
        </w:rPr>
        <w:t>Selected Outcomes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Reduced a core healthcare publishing workflow from weeks to a couple of days by co-designing and delivering a headless CMS architecture.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Defined the scope and delivered an industrial decommissioning MVP on schedule after resolving domain and planning ambiguity through an onsite Design Sprint.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Helped architect a Rails service boundary for specialized international investment processing and advanced shared localization and frontend-platform capabilities.</w:t>
      </w:r>
    </w:p>
    <w:p>
      <w:pPr>
        <w:pStyle w:val="Heading1"/>
        <w:keepNext/>
        <w:widowControl/>
        <w:spacing w:before="240" w:after="120" w:line="240" w:lineRule="exact"/>
      </w:pPr>
      <w:r>
        <w:rPr>
          <w:rFonts w:ascii="Arial" w:hAnsi="Arial"/>
          <w:b/>
          <w:color w:val="2A7A7A"/>
          <w:sz w:val="18"/>
        </w:rPr>
        <w:t>Professional Experience</w:t>
      </w:r>
    </w:p>
    <w:p>
      <w:pPr>
        <w:pStyle w:val="Heading2"/>
        <w:keepNext/>
        <w:widowControl/>
        <w:spacing w:before="180" w:after="40" w:line="280" w:lineRule="exact"/>
      </w:pPr>
      <w:r>
        <w:rPr>
          <w:rFonts w:ascii="Arial" w:hAnsi="Arial"/>
          <w:b/>
          <w:color w:val="0A0A0A"/>
          <w:sz w:val="21"/>
        </w:rPr>
        <w:t>MojoTech · Senior Software Engineer and Technical Lead</w:t>
      </w:r>
    </w:p>
    <w:p>
      <w:pPr>
        <w:keepNext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Feb 2015–Present · Providence, RI and remote</w:t>
      </w:r>
    </w:p>
    <w:p>
      <w:pPr>
        <w:keepNext w:val="0"/>
        <w:widowControl/>
        <w:spacing w:before="0" w:after="100" w:line="270" w:lineRule="exact"/>
      </w:pPr>
      <w:r>
        <w:rPr>
          <w:rFonts w:ascii="Arial" w:hAnsi="Arial"/>
          <w:b w:val="0"/>
          <w:color w:val="0A0A0A"/>
          <w:sz w:val="20"/>
        </w:rPr>
        <w:t>Software consultancy · Embedded across 15+ client organizations</w:t>
      </w:r>
    </w:p>
    <w:p>
      <w:pPr>
        <w:pStyle w:val="Heading2"/>
        <w:keepNext/>
        <w:widowControl/>
        <w:spacing w:before="180" w:after="40" w:line="280" w:lineRule="exact"/>
      </w:pPr>
      <w:r>
        <w:rPr>
          <w:rFonts w:ascii="Arial" w:hAnsi="Arial"/>
          <w:b/>
          <w:color w:val="0A0A0A"/>
          <w:sz w:val="21"/>
        </w:rPr>
        <w:t>iCapital · Senior Software Engineer Consultant</w:t>
      </w:r>
    </w:p>
    <w:p>
      <w:pPr>
        <w:keepNext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May 2024–Present · via MojoTech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Helped architect and implement a Rails backend service for Nominees, a business unit supporting specialized international investments; translated complex domain workflows into a maintainable service boundary.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Modernized backend localization with Mobility and migrated custom frontend forms toward a shared internal package, improving consistency and reuse across the investment platform.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Partner across an enterprise engineering environment on feature delivery, service architecture, localization, and shared tooling using Rails, React, TypeScript, and Node.js.</w:t>
      </w:r>
    </w:p>
    <w:p>
      <w:pPr>
        <w:pStyle w:val="Heading2"/>
        <w:keepNext/>
        <w:widowControl/>
        <w:spacing w:before="180" w:after="40" w:line="280" w:lineRule="exact"/>
      </w:pPr>
      <w:r>
        <w:rPr>
          <w:rFonts w:ascii="Arial" w:hAnsi="Arial"/>
          <w:b/>
          <w:color w:val="0A0A0A"/>
          <w:sz w:val="21"/>
        </w:rPr>
        <w:t>Healthcasts · Technical Lead</w:t>
      </w:r>
    </w:p>
    <w:p>
      <w:pPr>
        <w:keepNext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Oct 2022–May 2024 · via MojoTech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Led technical direction and delivery across publishing, identity, and AI-platform initiatives, helping define project goals, solution approaches, and phased implementation plans.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Co-designed and implemented a Strapi and React headless CMS workflow that reduced a core publishing process from weeks to a couple of days.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Helped define and led an Auth0 authentication strategy, including an extensive rewrite of the authentication layer and backend; later led development and implementation of portions of the client’s AI platform.</w:t>
      </w:r>
    </w:p>
    <w:p>
      <w:r>
        <w:br w:type="page"/>
      </w:r>
    </w:p>
    <w:p>
      <w:pPr>
        <w:keepNext w:val="0"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Adam Robinson · Professional Experience continued</w:t>
      </w:r>
    </w:p>
    <w:p>
      <w:pPr>
        <w:pStyle w:val="Heading2"/>
        <w:keepNext/>
        <w:widowControl/>
        <w:spacing w:before="180" w:after="40" w:line="280" w:lineRule="exact"/>
      </w:pPr>
      <w:r>
        <w:rPr>
          <w:rFonts w:ascii="Arial" w:hAnsi="Arial"/>
          <w:b/>
          <w:color w:val="0A0A0A"/>
          <w:sz w:val="21"/>
        </w:rPr>
        <w:t>Angi and Handy · Senior Software Engineer Consultant</w:t>
      </w:r>
    </w:p>
    <w:p>
      <w:pPr>
        <w:keepNext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Nov 2020–Sep 2022 · via MojoTech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Delivered backend and frontend capabilities across the Angi rebrand and multiple product platforms using Java, Vue, React, Rails, Next.js, and Contentful.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Adapted to changing business priorities and technology stacks while maintaining delivery continuity across the unified quiz flow, Handy product work, and CMS-driven Angi experiences.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Managed interns rebuilding the Careers experience, then assumed ownership of the remaining implementation to carry the initiative through completion.</w:t>
      </w:r>
    </w:p>
    <w:p>
      <w:pPr>
        <w:pStyle w:val="Heading2"/>
        <w:keepNext/>
        <w:widowControl/>
        <w:spacing w:before="180" w:after="40" w:line="280" w:lineRule="exact"/>
      </w:pPr>
      <w:r>
        <w:rPr>
          <w:rFonts w:ascii="Arial" w:hAnsi="Arial"/>
          <w:b/>
          <w:color w:val="0A0A0A"/>
          <w:sz w:val="21"/>
        </w:rPr>
        <w:t>Shell Techworks · Software Engineer</w:t>
      </w:r>
    </w:p>
    <w:p>
      <w:pPr>
        <w:keepNext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Jun 2018–Jul 2019 · via MojoTech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Worked onsite with business and technical stakeholders to turn an ambiguous, high-cost operational problem into a defined MVP using the Google Design Sprint process.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Designed and built a React and Node.js application that ingested offshore-platform data and evaluated least-cost paths for decommissioning end-of-life assets; delivered the MVP on schedule.</w:t>
      </w:r>
    </w:p>
    <w:p>
      <w:pPr>
        <w:pStyle w:val="Heading2"/>
        <w:keepNext/>
        <w:widowControl/>
        <w:spacing w:before="180" w:after="40" w:line="280" w:lineRule="exact"/>
      </w:pPr>
      <w:r>
        <w:rPr>
          <w:rFonts w:ascii="Arial" w:hAnsi="Arial"/>
          <w:b/>
          <w:color w:val="0A0A0A"/>
          <w:sz w:val="21"/>
        </w:rPr>
        <w:t>Additional Embedded Client Engagements</w:t>
      </w:r>
    </w:p>
    <w:p>
      <w:pPr>
        <w:keepNext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2015–2020 · via MojoTech</w:t>
      </w:r>
    </w:p>
    <w:p>
      <w:pPr>
        <w:keepNext w:val="0"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Two Sigma (investment management) · Credit Karma (consumer finance) · Schneider Electric (industrial technology; technical lead) · Welltok (healthcare) · Amica Mutual (insurance) · School of Motion (education) · AutoRaptor (automotive CRM)</w:t>
      </w:r>
    </w:p>
    <w:p>
      <w:pPr>
        <w:pStyle w:val="Heading2"/>
        <w:keepNext/>
        <w:widowControl/>
        <w:spacing w:before="180" w:after="40" w:line="280" w:lineRule="exact"/>
      </w:pPr>
      <w:r>
        <w:rPr>
          <w:rFonts w:ascii="Arial" w:hAnsi="Arial"/>
          <w:b/>
          <w:color w:val="0A0A0A"/>
          <w:sz w:val="21"/>
        </w:rPr>
        <w:t>Beacon Mutual Insurance · Associate Developer and Production Control</w:t>
      </w:r>
    </w:p>
    <w:p>
      <w:pPr>
        <w:keepNext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Mar 2011–Feb 2015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Progressed from deployment and environment management into full-stack and database development for claims, policy, financial transaction, and payment systems in a regulated insurance environment.</w:t>
      </w:r>
    </w:p>
    <w:p>
      <w:pPr>
        <w:keepNext w:val="0"/>
        <w:widowControl/>
        <w:spacing w:before="0" w:after="100" w:line="270" w:lineRule="exact"/>
        <w:ind w:left="200" w:hanging="160"/>
      </w:pPr>
      <w:r>
        <w:rPr>
          <w:rFonts w:ascii="Arial" w:hAnsi="Arial"/>
          <w:b w:val="0"/>
          <w:color w:val="0A0A0A"/>
          <w:sz w:val="20"/>
        </w:rPr>
        <w:t>• Built broad operational and application context across production support, releases, databases, and business-critical systems, establishing the foundation for later architecture and consulting work.</w:t>
      </w:r>
    </w:p>
    <w:p>
      <w:pPr>
        <w:pStyle w:val="Heading1"/>
        <w:keepNext/>
        <w:widowControl/>
        <w:spacing w:before="240" w:after="120" w:line="240" w:lineRule="exact"/>
      </w:pPr>
      <w:r>
        <w:rPr>
          <w:rFonts w:ascii="Arial" w:hAnsi="Arial"/>
          <w:b/>
          <w:color w:val="2A7A7A"/>
          <w:sz w:val="18"/>
        </w:rPr>
        <w:t>Architecture and Delivery Capabilities</w:t>
      </w:r>
    </w:p>
    <w:p>
      <w:pPr>
        <w:keepNext w:val="0"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Solution design and technical discovery • Requirements translation and MVP definition • Backend services and API architecture • Platform and legacy modernization • Authentication and identity strategy • Cloud-based application delivery • Integration and localization workflows • Technical leadership and mentoring • Cross-functional and distributed-team delivery</w:t>
      </w:r>
    </w:p>
    <w:p>
      <w:pPr>
        <w:pStyle w:val="Heading1"/>
        <w:keepNext/>
        <w:widowControl/>
        <w:spacing w:before="240" w:after="120" w:line="240" w:lineRule="exact"/>
      </w:pPr>
      <w:r>
        <w:rPr>
          <w:rFonts w:ascii="Arial" w:hAnsi="Arial"/>
          <w:b/>
          <w:color w:val="2A7A7A"/>
          <w:sz w:val="18"/>
        </w:rPr>
        <w:t>Technical Foundation</w:t>
      </w:r>
    </w:p>
    <w:p>
      <w:pPr>
        <w:keepNext w:val="0"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Architecture and delivery: System design, technical discovery, service boundaries, modernization roadmaps, authentication, CMS architecture, localization, delivery coordination, mentorship</w:t>
      </w:r>
    </w:p>
    <w:p>
      <w:pPr>
        <w:keepNext w:val="0"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Cloud and platforms: AWS, Auth0, GitHub Actions, Docker, Vercel, Netlify, Redis, PostgreSQL, Contentful, Strapi</w:t>
      </w:r>
    </w:p>
    <w:p>
      <w:pPr>
        <w:keepNext w:val="0"/>
        <w:widowControl/>
        <w:spacing w:before="0" w:after="100" w:line="240" w:lineRule="exact"/>
      </w:pPr>
      <w:r>
        <w:rPr>
          <w:rFonts w:ascii="Arial" w:hAnsi="Arial"/>
          <w:b w:val="0"/>
          <w:color w:val="555555"/>
          <w:sz w:val="18"/>
        </w:rPr>
        <w:t>Engineering depth: TypeScript, React, Node.js, Ruby on Rails, SQL, Java, Vue, Next.js, Express, Elixir/Phoenix, PHP, Svelte</w:t>
      </w:r>
    </w:p>
    <w:sectPr w:rsidR="00FC693F" w:rsidRPr="0006063C" w:rsidSect="00034616">
      <w:pgSz w:w="12240" w:h="15840"/>
      <w:pgMar w:top="800" w:right="1080" w:bottom="7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amrobinson.tech" TargetMode="External"/><Relationship Id="rId10" Type="http://schemas.openxmlformats.org/officeDocument/2006/relationships/hyperlink" Target="https://github.com/aaddaamm" TargetMode="External"/><Relationship Id="rId11" Type="http://schemas.openxmlformats.org/officeDocument/2006/relationships/hyperlink" Target="https://www.linkedin.com/in/adam-robinson-software/" TargetMode="External"/><Relationship Id="rId12" Type="http://schemas.openxmlformats.org/officeDocument/2006/relationships/hyperlink" Target="mailto:adam@adamrobinson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Robinson Resume</dc:title>
  <dc:subject/>
  <dc:creator>Adam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