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Guion del video — sustentación final</w:t>
      </w:r>
    </w:p>
    <w:p>
      <w:pPr>
        <w:jc w:val="center"/>
      </w:pPr>
      <w:r>
        <w:rPr>
          <w:i/>
          <w:sz w:val="26"/>
        </w:rPr>
        <w:t>Modelo predictivo–prescriptivo para priorizar el backlog del mantenimiento</w:t>
      </w:r>
    </w:p>
    <w:p>
      <w:pPr>
        <w:jc w:val="center"/>
      </w:pPr>
      <w:r>
        <w:rPr>
          <w:sz w:val="24"/>
        </w:rPr>
        <w:br/>
        <w:t>Aníbal Antonio De Avila Rueda · UMB 2026</w:t>
      </w:r>
    </w:p>
    <w:p>
      <w:pPr>
        <w:jc w:val="center"/>
      </w:pPr>
      <w:r>
        <w:rPr>
          <w:i/>
          <w:sz w:val="22"/>
        </w:rPr>
        <w:t>Tiempo total: 12–15 minutos · 15 diapositivas</w:t>
      </w:r>
    </w:p>
    <w:p/>
    <w:p>
      <w:pPr>
        <w:pStyle w:val="Heading1"/>
      </w:pPr>
      <w:r>
        <w:rPr>
          <w:rFonts w:ascii="Times New Roman" w:hAnsi="Times New Roman"/>
          <w:color w:val="1F3A5F"/>
        </w:rPr>
        <w:t>Cómo usar este guion</w:t>
      </w:r>
    </w:p>
    <w:p>
      <w:pPr>
        <w:jc w:val="both"/>
      </w:pPr>
      <w:r>
        <w:rPr>
          <w:rFonts w:ascii="Times New Roman" w:hAnsi="Times New Roman"/>
          <w:b w:val="0"/>
          <w:i w:val="0"/>
          <w:sz w:val="22"/>
        </w:rPr>
        <w:t>Cada slide tiene un único párrafo narrado, marcado entre comillas y en cursiva. Léelo en voz natural —no como dictado—. Los tiempos son orientativos: si tu tono es pausado puedes acercarte a 15 min, si es más ágil te quedas en 12.</w:t>
      </w:r>
    </w:p>
    <w:p>
      <w:pPr>
        <w:jc w:val="both"/>
      </w:pPr>
      <w:r>
        <w:rPr>
          <w:rFonts w:ascii="Times New Roman" w:hAnsi="Times New Roman"/>
          <w:b w:val="0"/>
          <w:i w:val="0"/>
          <w:sz w:val="22"/>
        </w:rPr>
        <w:t>Antes de grabar: abre la presentación en modo Presentación, prueba el micrófono, silencia notificaciones y ten a mano un vaso de agua. Si quieres mostrar el código o el dashboard en vivo, intercala una pequeña ventana entre las slides 8 y 12 (ver sección 'Demos opcionales' al final).</w:t>
      </w:r>
    </w:p>
    <w:p>
      <w:r>
        <w:br w:type="page"/>
      </w:r>
    </w:p>
    <w:p>
      <w:pPr>
        <w:pStyle w:val="Heading1"/>
      </w:pPr>
      <w:r>
        <w:rPr>
          <w:rFonts w:ascii="Times New Roman" w:hAnsi="Times New Roman"/>
          <w:color w:val="1F3A5F"/>
        </w:rPr>
        <w:t>Bloque A — Guion narrado por slide</w:t>
      </w:r>
    </w:p>
    <w:p>
      <w:pPr>
        <w:pStyle w:val="Heading2"/>
      </w:pPr>
      <w:r>
        <w:rPr>
          <w:rFonts w:ascii="Times New Roman" w:hAnsi="Times New Roman"/>
          <w:color w:val="2E75B6"/>
        </w:rPr>
        <w:t>Slide 1 — Portada  (0:30)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"Buenos días, profesor y jurado. Mi nombre es Aníbal De Avila Rueda y voy a presentar la sustentación final de mi trabajo de grado, titulado “Modelo predictivo–prescriptivo para priorizar el backlog del mantenimiento, con MCDA y optimización ligera”, presentado como requisito para optar al título de Especialista Tecnológico en Automatización Industrial de la Universidad Manuela Beltrán. Les voy a contar el problema, los objetivos, la metodología, los resultados, las conclusiones, y dónde queda el camino para trabajos futuros."</w:t>
            </w:r>
          </w:p>
        </w:tc>
      </w:tr>
    </w:tbl>
    <w:p/>
    <w:p>
      <w:pPr>
        <w:pStyle w:val="Heading2"/>
      </w:pPr>
      <w:r>
        <w:rPr>
          <w:rFonts w:ascii="Times New Roman" w:hAnsi="Times New Roman"/>
          <w:color w:val="2E75B6"/>
        </w:rPr>
        <w:t>Slide 2 — Resumen ejecutivo  (0:50)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"Si tuviera que resumir el trabajo en cuatro cifras serían estas. La primera —doce por ciento— es la reducción media del riesgo residual del backlog que logra el modelo frente a la política tradicional. La segunda —cero coma setecientos sesenta y dos— es el AUC del componente predictivo calibrado, estable a lo largo de los cinco escenarios. La tercera —cien por ciento— es el cumplimiento de las restricciones operativas en las ciento cincuenta corridas que se ejecutaron. Y la cuarta —p menor a cero coma cero cero uno— es la significancia estadística de la mejora, demostrada con prueba t pareada en los cinco escenarios. El trabajo integra predicción calibrada, valoración multicriterio MCDA y optimización ligera en un pipeline reproducible."</w:t>
            </w:r>
          </w:p>
        </w:tc>
      </w:tr>
    </w:tbl>
    <w:p/>
    <w:p>
      <w:pPr>
        <w:pStyle w:val="Heading2"/>
      </w:pPr>
      <w:r>
        <w:rPr>
          <w:rFonts w:ascii="Times New Roman" w:hAnsi="Times New Roman"/>
          <w:color w:val="2E75B6"/>
        </w:rPr>
        <w:t>Slide 3 — Problema y pregunta  (1:00)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problema operativo es muy concreto. En una planta de proceso, cada semana se acumulan entre veinte y cien órdenes de trabajo, pero las horas-hombre, las habilidades y los repuestos son limitados. La práctica habitual es priorizar por prioridad nominal y fecha, lo cual no maximiza la reducción del riesgo. La brecha es clara: los CMMS registran y filtran, pero no formulan la decisión; no conectan la predicción, la valoración multicriterio y la optimización con restricciones reales. La pregunta de investigación, leída tal cual: un modelo predictivo–prescriptivo que predice la probabilidad de falla semanal y prescribe la selección de WO bajo restricciones, ¿mejora la trazabilidad y reduce el riesgo residual del backlog frente a las reglas tradicionales? La respuesta corta, que defenderé con datos a lo largo de esta presentación, es: sí."</w:t>
            </w:r>
          </w:p>
        </w:tc>
      </w:tr>
    </w:tbl>
    <w:p/>
    <w:p>
      <w:pPr>
        <w:pStyle w:val="Heading2"/>
      </w:pPr>
      <w:r>
        <w:rPr>
          <w:rFonts w:ascii="Times New Roman" w:hAnsi="Times New Roman"/>
          <w:color w:val="2E75B6"/>
        </w:rPr>
        <w:t>Slide 4 — Objetivos  (1:00)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objetivo general es diseñar y evaluar un modelo predictivo–prescriptivo que maximice la reducción del riesgo bajo restricciones de capacidad, habilidades y disponibilidad de repuestos. De allí se derivan cuatro objetivos específicos: construir un dataset simulado y reproducible —OE1—; entrenar y calibrar un modelo de clasificación —OE2—; formular y resolver la selección semanal con restricciones —OE3—; y comparar contra las reglas tradicionales mediante KPIs operativos —OE4—. Como ven en las etiquetas verdes, los cuatro objetivos quedaron cumplidos en esta entrega final."</w:t>
            </w:r>
          </w:p>
        </w:tc>
      </w:tr>
    </w:tbl>
    <w:p/>
    <w:p>
      <w:pPr>
        <w:pStyle w:val="Heading2"/>
      </w:pPr>
      <w:r>
        <w:rPr>
          <w:rFonts w:ascii="Times New Roman" w:hAnsi="Times New Roman"/>
          <w:color w:val="2E75B6"/>
        </w:rPr>
        <w:t>Slide 5 — Metodología — 6 fases  (0:50)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"La metodología se estructuró formalmente en seis fases secuenciales. La fase uno es el diseño experimental, donde se definen los cinco escenarios y se construye el dataset sintético. La fase dos es el modelado predictivo. La fase tres es el modelado multicriterio MCDA. La fase cuatro es la optimización ligera. La fase cinco es la evaluación con réplicas y baseline pareado. Y la fase seis es el análisis estadístico de resultados. Cada fase entregó componentes concretos y verificables, todos completados en este trabajo final."</w:t>
            </w:r>
          </w:p>
        </w:tc>
      </w:tr>
    </w:tbl>
    <w:p/>
    <w:p>
      <w:pPr>
        <w:pStyle w:val="Heading2"/>
      </w:pPr>
      <w:r>
        <w:rPr>
          <w:rFonts w:ascii="Times New Roman" w:hAnsi="Times New Roman"/>
          <w:color w:val="2E75B6"/>
        </w:rPr>
        <w:t>Slide 6 — Marco teórico  (0:50)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marco teórico se apoya en cuatro pilares. El primero es la gestión de activos y riesgo, soportada por las normas ISO 55000, ISO 31000 y la guía IEC 31010. El segundo es el Mantenimiento Centrado en Confiabilidad, alineado con IEC 60300-3-11 y los datos estandarizados de ISO 14224. El tercero es la predicción y calibración, basado en las revisiones de Lei, Carvalho y la calibración isotónica de Kull. Y el cuarto es el análisis multicriterio y la optimización, con base en Greco, Ehrgott y Figueira, y en Pinedo. La idea puente es clara: RCM dice qué importa, las ISO indican cómo medir y decidir, y el aprendizaje automático junto al MCDA y al scheduling traducen eso en una decisión operativa."</w:t>
            </w:r>
          </w:p>
        </w:tc>
      </w:tr>
    </w:tbl>
    <w:p/>
    <w:p>
      <w:pPr>
        <w:pStyle w:val="Heading2"/>
      </w:pPr>
      <w:r>
        <w:rPr>
          <w:rFonts w:ascii="Times New Roman" w:hAnsi="Times New Roman"/>
          <w:color w:val="2E75B6"/>
        </w:rPr>
        <w:t>Slide 7 — Pipeline de tres etapas  (1:00)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"El aporte central del trabajo es este pipeline de tres etapas integradas. En la primera, el componente predictivo emite una probabilidad calibrada de falla en siete días para cada orden de trabajo, usando regresión logística con regularización L2 y calibración isotónica mediante el algoritmo Pool Adjacent Violators. En la segunda, el MCDA combina esa probabilidad con la severidad y el costo en un puntaje de riesgo explicable, con pesos sometidos a análisis de sensibilidad. Y en la tercera, la optimización ligera resuelve un problema tipo knapsack multi-restricción que selecciona el subconjunto de WO a programar maximizando el riesgo atendido, respetando las restricciones de capacidad total, capacidad por habilidad y disponibilidad de repuestos. Lo importante: toda la cadena es trazable WO por WO y restricción por restricción."</w:t>
            </w:r>
          </w:p>
        </w:tc>
      </w:tr>
    </w:tbl>
    <w:p/>
    <w:p>
      <w:pPr>
        <w:pStyle w:val="Heading2"/>
      </w:pPr>
      <w:r>
        <w:rPr>
          <w:rFonts w:ascii="Times New Roman" w:hAnsi="Times New Roman"/>
          <w:color w:val="2E75B6"/>
        </w:rPr>
        <w:t>Slide 8 — Resultados OE1+OE2 — Modelo predictivo  (1:00)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"Aquí están los resultados de los dos primeros objetivos. El dataset, generado por el módulo data_generator, tiene veintiún variables documentadas en un diccionario formal alineado con ISO 14224. Se ejecutaron cinco escenarios con treinta réplicas cada uno, lo que da ciento cincuenta corridas reproducibles. El modelo predictivo alcanzó un AUC promedio de cero coma setecientos sesenta y dos —con desviación estándar menor a cero coma cero tres entre escenarios, es decir, muy estable— y un Brier Score de cero coma doscientos uno, que confirma que la calibración isotónica produce probabilidades fiables. Las variables más explicativas fueron uso acumulado, PM vencidos y criticidad, que son exactamente las que esperaríamos desde la teoría RCM. Esto valida la coherencia física del modelo."</w:t>
            </w:r>
          </w:p>
        </w:tc>
      </w:tr>
    </w:tbl>
    <w:p/>
    <w:p>
      <w:pPr>
        <w:pStyle w:val="Heading2"/>
      </w:pPr>
      <w:r>
        <w:rPr>
          <w:rFonts w:ascii="Times New Roman" w:hAnsi="Times New Roman"/>
          <w:color w:val="2E75B6"/>
        </w:rPr>
        <w:t>Slide 9 — Resultados OE3 — Optimización  (1:00)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"Para el tercer objetivo, formulé el problema como un MILP de tipo knapsack. La función objetivo maximiza la suma del riesgo programado. Las restricciones son tres: la suma de duraciones por las variables binarias debe ser menor o igual a las horas totales; lo mismo para cada habilidad; y la suma de WO seleccionadas que requieren un repuesto no puede exceder el stock disponible. Si el repuesto no está disponible, la WO queda automáticamente excluida. El solver es PuLP con CBC, con un fallback en numpy puro mediante greedy más búsqueda local. Los resultados en el panel derecho son contundentes: en las ciento cincuenta corridas, el cumplimiento de ventanas fue del cien por ciento, no se registraron violaciones de repuestos, y la capacidad por habilidad se respetó íntegramente. Esto valida la implementación correcta del bloque de restricciones."</w:t>
            </w:r>
          </w:p>
        </w:tc>
      </w:tr>
    </w:tbl>
    <w:p/>
    <w:p>
      <w:pPr>
        <w:pStyle w:val="Heading2"/>
      </w:pPr>
      <w:r>
        <w:rPr>
          <w:rFonts w:ascii="Times New Roman" w:hAnsi="Times New Roman"/>
          <w:color w:val="2E75B6"/>
        </w:rPr>
        <w:t>Slide 10 — Resultados OE4 — Comparación con baseline  (1:30)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"Esta es la tabla central del trabajo. Para cada uno de los cinco escenarios muestro el riesgo residual promedio del baseline tradicional frente al modelo propuesto, con su intervalo de confianza al noventa y cinco por ciento. La cuarta columna es la reducción que obtiene el modelo, y la quinta el p-valor de la prueba t de Student pareada. En los cinco escenarios la diferencia es estadísticamente significativa con p menor a cero coma cero cero uno. La reducción del riesgo residual va desde el nueve por ciento en el escenario nominal hasta el trece coma tres en el de faltante de repuesto, con un promedio del doce por ciento. Las tarjetas naranjas muestran tres ganancias adicionales: el modelo programa entre uno coma nueve y cinco coma tres puntos porcentuales más de WO críticas; la utilización de horas es prácticamente igual entre ambos métodos, lo que demuestra que la ganancia no viene de subutilizar la capacidad sino de un ordenamiento más inteligente; y el lateness ponderado se reduce entre un seis y un doce por ciento."</w:t>
            </w:r>
          </w:p>
        </w:tc>
      </w:tr>
    </w:tbl>
    <w:p/>
    <w:p>
      <w:pPr>
        <w:pStyle w:val="Heading2"/>
      </w:pPr>
      <w:r>
        <w:rPr>
          <w:rFonts w:ascii="Times New Roman" w:hAnsi="Times New Roman"/>
          <w:color w:val="2E75B6"/>
        </w:rPr>
        <w:t>Slide 11 — Magnitud de la reducción del riesgo  (0:40)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"Esta gráfica refuerza visualmente lo que acabo de mostrar. Cada barra representa el porcentaje de reducción del riesgo residual del modelo frente al baseline en cada escenario. La zona verde clara representa la banda objetivo del veinticinco al cuarenta por ciento que se planteó inicialmente en el avance del proyecto. Los promedios quedan por debajo de esa banda, pero —y este es un punto importante— eso ocurre porque el baseline en este trabajo es bastante razonable, ya que respeta las mismas restricciones operativas que el modelo. En réplicas individuales sí se alcanzan picos de hasta el cuarenta y uno coma cinco por ciento, especialmente en escenarios estresados como el E2 y el E4."</w:t>
            </w:r>
          </w:p>
        </w:tc>
      </w:tr>
    </w:tbl>
    <w:p/>
    <w:p>
      <w:pPr>
        <w:pStyle w:val="Heading2"/>
      </w:pPr>
      <w:r>
        <w:rPr>
          <w:rFonts w:ascii="Times New Roman" w:hAnsi="Times New Roman"/>
          <w:color w:val="2E75B6"/>
        </w:rPr>
        <w:t>Slide 12 — Dashboard interactivo  (0:50)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"Para complementar los resultados y facilitar la rendición de cuentas, desarrollé un dashboard interactivo en formato HTML autocontenido. Se abre en cualquier navegador, sin necesidad de instalar nada, y reúne en una sola vista los KPIs globales, las gráficas comparativas modelo versus baseline, la tabla con intervalos de confianza y prueba t pareada por escenario, y una lectura ejecutiva auto-generada en lenguaje claro. Esto convierte un reporte técnico en una herramienta de auditoría y comunicación accesible para audiencias no técnicas. Se incluye como Anexo B del informe final."</w:t>
            </w:r>
          </w:p>
        </w:tc>
      </w:tr>
    </w:tbl>
    <w:p/>
    <w:p>
      <w:pPr>
        <w:pStyle w:val="Heading2"/>
      </w:pPr>
      <w:r>
        <w:rPr>
          <w:rFonts w:ascii="Times New Roman" w:hAnsi="Times New Roman"/>
          <w:color w:val="2E75B6"/>
        </w:rPr>
        <w:t>Slide 13 — Conclusiones principales  (1:10)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"De este trabajo se desprenden cuatro conclusiones principales. Primera: la reducción del riesgo residual del backlog frente al baseline tradicional es significativa en los cinco escenarios, con p menor a cero coma cero cero uno, y reducciones medias entre el nueve y el trece por ciento. Segunda: el modelo predictivo es robusto y calibrado, con AUC estable a través de los escenarios y probabilidades fiables gracias a la calibración isotónica. Tercera: la optimización respeta el cien por ciento de las restricciones operativas y permite reconstruir la justificación de cada WO programada o excluida. Y cuarta, quizás la más importante para la pregunta de investigación: la brecha entre predicción, valoración y decisión queda cerrada por un pipeline reproducible, auditable y abierto."</w:t>
            </w:r>
          </w:p>
        </w:tc>
      </w:tr>
    </w:tbl>
    <w:p/>
    <w:p>
      <w:pPr>
        <w:pStyle w:val="Heading2"/>
      </w:pPr>
      <w:r>
        <w:rPr>
          <w:rFonts w:ascii="Times New Roman" w:hAnsi="Times New Roman"/>
          <w:color w:val="2E75B6"/>
        </w:rPr>
        <w:t>Slide 14 — Limitaciones y trabajo futuro  (1:00)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"Soy consciente de las limitaciones de este trabajo. Trabajé con datos sintéticos, lo que limita la validez externa; las duraciones son determinísticas; el horizonte es semanal e independiente; la política de inventarios es fija; y el componente predictivo es lineal. Por eso, las líneas de continuidad naturales son: validar con datos reales de un CMMS industrial, extender a horizontes multi-semana con planificación rolante, integrar costo económico explícito en el MCDA, comparar contra modelos no lineales como XGBoost o LightGBM optimizados con Optuna, y hacer un despliegue piloto asistido en planta durante tres a seis meses para evaluar la adopción y el impacto operativo real."</w:t>
            </w:r>
          </w:p>
        </w:tc>
      </w:tr>
    </w:tbl>
    <w:p/>
    <w:p>
      <w:pPr>
        <w:pStyle w:val="Heading2"/>
      </w:pPr>
      <w:r>
        <w:rPr>
          <w:rFonts w:ascii="Times New Roman" w:hAnsi="Times New Roman"/>
          <w:color w:val="2E75B6"/>
        </w:rPr>
        <w:t>Slide 15 — Cierre y referencias  (0:40)</w:t>
      </w:r>
    </w:p>
    <w:tbl>
      <w:tblPr>
        <w:tblW w:type="auto" w:w="0"/>
        <w:tblLook w:firstColumn="1" w:firstRow="1" w:lastColumn="0" w:lastRow="0" w:noHBand="0" w:noVBand="1" w:val="04A0"/>
      </w:tblPr>
      <w:tblGrid>
        <w:gridCol w:w="8640"/>
      </w:tblGrid>
      <w:tr>
        <w:tc>
          <w:tcPr>
            <w:tcW w:type="dxa" w:w="8640"/>
            <w:shd w:val="clear" w:color="auto" w:fill="EAF1F8"/>
          </w:tcPr>
          <w:p>
            <w:pPr>
              <w:jc w:val="both"/>
            </w:pPr>
            <w:r>
              <w:rPr>
                <w:rFonts w:ascii="Times New Roman" w:hAnsi="Times New Roman"/>
                <w:i/>
                <w:sz w:val="22"/>
              </w:rPr>
              <w:t>"Para cerrar, dejo en pantalla las referencias bibliográficas clave del trabajo: la calibración isotónica de Kull, el texto de scheduling de Pinedo, el manual de MCDA de Greco, Ehrgott y Figueira, las revisiones de Lei y Carvalho en mantenimiento predictivo, y las normas internacionales ISO y IEC que sustentan el marco metodológico. La bibliografía completa, con veintisiete referencias en formato IEEE, está en el informe final. Profesor, jurado, muchas gracias por su atención. Quedo atento a sus comentarios y preguntas."</w:t>
            </w:r>
          </w:p>
        </w:tc>
      </w:tr>
    </w:tbl>
    <w:p/>
    <w:p>
      <w:r>
        <w:br w:type="page"/>
      </w:r>
    </w:p>
    <w:p>
      <w:pPr>
        <w:pStyle w:val="Heading1"/>
      </w:pPr>
      <w:r>
        <w:rPr>
          <w:rFonts w:ascii="Times New Roman" w:hAnsi="Times New Roman"/>
          <w:color w:val="1F3A5F"/>
        </w:rPr>
        <w:t>Bloque B — Distribución de tiempo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rFonts w:ascii="Times New Roman" w:hAnsi="Times New Roman"/>
                <w:b/>
                <w:color w:val="FFFFFF"/>
                <w:sz w:val="22"/>
              </w:rPr>
              <w:t>#</w:t>
            </w:r>
          </w:p>
        </w:tc>
        <w:tc>
          <w:tcPr>
            <w:tcW w:type="dxa" w:w="2160"/>
            <w:shd w:val="clear" w:color="auto" w:fill="1F3A5F"/>
          </w:tcPr>
          <w:p>
            <w:r>
              <w:rPr>
                <w:rFonts w:ascii="Times New Roman" w:hAnsi="Times New Roman"/>
                <w:b/>
                <w:color w:val="FFFFFF"/>
                <w:sz w:val="22"/>
              </w:rPr>
              <w:t>Slide</w:t>
            </w:r>
          </w:p>
        </w:tc>
        <w:tc>
          <w:tcPr>
            <w:tcW w:type="dxa" w:w="2160"/>
            <w:shd w:val="clear" w:color="auto" w:fill="1F3A5F"/>
          </w:tcPr>
          <w:p>
            <w:r>
              <w:rPr>
                <w:rFonts w:ascii="Times New Roman" w:hAnsi="Times New Roman"/>
                <w:b/>
                <w:color w:val="FFFFFF"/>
                <w:sz w:val="22"/>
              </w:rPr>
              <w:t>Tema</w:t>
            </w:r>
          </w:p>
        </w:tc>
        <w:tc>
          <w:tcPr>
            <w:tcW w:type="dxa" w:w="2160"/>
            <w:shd w:val="clear" w:color="auto" w:fill="1F3A5F"/>
          </w:tcPr>
          <w:p>
            <w:r>
              <w:rPr>
                <w:rFonts w:ascii="Times New Roman" w:hAnsi="Times New Roman"/>
                <w:b/>
                <w:color w:val="FFFFFF"/>
                <w:sz w:val="22"/>
              </w:rPr>
              <w:t>Tiempo</w:t>
            </w:r>
          </w:p>
        </w:tc>
      </w:tr>
      <w:tr>
        <w:tc>
          <w:tcPr>
            <w:tcW w:type="dxa" w:w="2160"/>
          </w:tcPr>
          <w:p>
            <w:r>
              <w:rPr>
                <w:rFonts w:ascii="Times New Roman" w:hAnsi="Times New Roman"/>
                <w:sz w:val="20"/>
              </w:rPr>
              <w:t>1</w:t>
            </w:r>
          </w:p>
        </w:tc>
        <w:tc>
          <w:tcPr>
            <w:tcW w:type="dxa" w:w="2160"/>
          </w:tcPr>
          <w:p>
            <w:r>
              <w:rPr>
                <w:rFonts w:ascii="Times New Roman" w:hAnsi="Times New Roman"/>
                <w:sz w:val="20"/>
              </w:rPr>
              <w:t>Portada</w:t>
            </w:r>
          </w:p>
        </w:tc>
        <w:tc>
          <w:tcPr>
            <w:tcW w:type="dxa" w:w="2160"/>
          </w:tcPr>
          <w:p>
            <w:r>
              <w:rPr>
                <w:rFonts w:ascii="Times New Roman" w:hAnsi="Times New Roman"/>
                <w:sz w:val="20"/>
              </w:rPr>
              <w:t>Identificación y saludo</w:t>
            </w:r>
          </w:p>
        </w:tc>
        <w:tc>
          <w:tcPr>
            <w:tcW w:type="dxa" w:w="2160"/>
          </w:tcPr>
          <w:p>
            <w:r>
              <w:rPr>
                <w:rFonts w:ascii="Times New Roman" w:hAnsi="Times New Roman"/>
                <w:sz w:val="20"/>
              </w:rPr>
              <w:t>0:30</w:t>
            </w:r>
          </w:p>
        </w:tc>
      </w:tr>
      <w:tr>
        <w:tc>
          <w:tcPr>
            <w:tcW w:type="dxa" w:w="2160"/>
          </w:tcPr>
          <w:p>
            <w:r>
              <w:rPr>
                <w:rFonts w:ascii="Times New Roman" w:hAnsi="Times New Roman"/>
                <w:sz w:val="20"/>
              </w:rPr>
              <w:t>2</w:t>
            </w:r>
          </w:p>
        </w:tc>
        <w:tc>
          <w:tcPr>
            <w:tcW w:type="dxa" w:w="2160"/>
          </w:tcPr>
          <w:p>
            <w:r>
              <w:rPr>
                <w:rFonts w:ascii="Times New Roman" w:hAnsi="Times New Roman"/>
                <w:sz w:val="20"/>
              </w:rPr>
              <w:t>Resumen ejecutivo</w:t>
            </w:r>
          </w:p>
        </w:tc>
        <w:tc>
          <w:tcPr>
            <w:tcW w:type="dxa" w:w="2160"/>
          </w:tcPr>
          <w:p>
            <w:r>
              <w:rPr>
                <w:rFonts w:ascii="Times New Roman" w:hAnsi="Times New Roman"/>
                <w:sz w:val="20"/>
              </w:rPr>
              <w:t>4 cifras clave</w:t>
            </w:r>
          </w:p>
        </w:tc>
        <w:tc>
          <w:tcPr>
            <w:tcW w:type="dxa" w:w="2160"/>
          </w:tcPr>
          <w:p>
            <w:r>
              <w:rPr>
                <w:rFonts w:ascii="Times New Roman" w:hAnsi="Times New Roman"/>
                <w:sz w:val="20"/>
              </w:rPr>
              <w:t>0:50</w:t>
            </w:r>
          </w:p>
        </w:tc>
      </w:tr>
      <w:tr>
        <w:tc>
          <w:tcPr>
            <w:tcW w:type="dxa" w:w="2160"/>
          </w:tcPr>
          <w:p>
            <w:r>
              <w:rPr>
                <w:rFonts w:ascii="Times New Roman" w:hAnsi="Times New Roman"/>
                <w:sz w:val="20"/>
              </w:rPr>
              <w:t>3</w:t>
            </w:r>
          </w:p>
        </w:tc>
        <w:tc>
          <w:tcPr>
            <w:tcW w:type="dxa" w:w="2160"/>
          </w:tcPr>
          <w:p>
            <w:r>
              <w:rPr>
                <w:rFonts w:ascii="Times New Roman" w:hAnsi="Times New Roman"/>
                <w:sz w:val="20"/>
              </w:rPr>
              <w:t>Problema y pregunta</w:t>
            </w:r>
          </w:p>
        </w:tc>
        <w:tc>
          <w:tcPr>
            <w:tcW w:type="dxa" w:w="2160"/>
          </w:tcPr>
          <w:p>
            <w:r>
              <w:rPr>
                <w:rFonts w:ascii="Times New Roman" w:hAnsi="Times New Roman"/>
                <w:sz w:val="20"/>
              </w:rPr>
              <w:t>Brecha + pregunta</w:t>
            </w:r>
          </w:p>
        </w:tc>
        <w:tc>
          <w:tcPr>
            <w:tcW w:type="dxa" w:w="2160"/>
          </w:tcPr>
          <w:p>
            <w:r>
              <w:rPr>
                <w:rFonts w:ascii="Times New Roman" w:hAnsi="Times New Roman"/>
                <w:sz w:val="20"/>
              </w:rPr>
              <w:t>1:00</w:t>
            </w:r>
          </w:p>
        </w:tc>
      </w:tr>
      <w:tr>
        <w:tc>
          <w:tcPr>
            <w:tcW w:type="dxa" w:w="2160"/>
          </w:tcPr>
          <w:p>
            <w:r>
              <w:rPr>
                <w:rFonts w:ascii="Times New Roman" w:hAnsi="Times New Roman"/>
                <w:sz w:val="20"/>
              </w:rPr>
              <w:t>4</w:t>
            </w:r>
          </w:p>
        </w:tc>
        <w:tc>
          <w:tcPr>
            <w:tcW w:type="dxa" w:w="2160"/>
          </w:tcPr>
          <w:p>
            <w:r>
              <w:rPr>
                <w:rFonts w:ascii="Times New Roman" w:hAnsi="Times New Roman"/>
                <w:sz w:val="20"/>
              </w:rPr>
              <w:t>Objetivos</w:t>
            </w:r>
          </w:p>
        </w:tc>
        <w:tc>
          <w:tcPr>
            <w:tcW w:type="dxa" w:w="2160"/>
          </w:tcPr>
          <w:p>
            <w:r>
              <w:rPr>
                <w:rFonts w:ascii="Times New Roman" w:hAnsi="Times New Roman"/>
                <w:sz w:val="20"/>
              </w:rPr>
              <w:t>OG + 4 OE cumplidos</w:t>
            </w:r>
          </w:p>
        </w:tc>
        <w:tc>
          <w:tcPr>
            <w:tcW w:type="dxa" w:w="2160"/>
          </w:tcPr>
          <w:p>
            <w:r>
              <w:rPr>
                <w:rFonts w:ascii="Times New Roman" w:hAnsi="Times New Roman"/>
                <w:sz w:val="20"/>
              </w:rPr>
              <w:t>1:00</w:t>
            </w:r>
          </w:p>
        </w:tc>
      </w:tr>
      <w:tr>
        <w:tc>
          <w:tcPr>
            <w:tcW w:type="dxa" w:w="2160"/>
          </w:tcPr>
          <w:p>
            <w:r>
              <w:rPr>
                <w:rFonts w:ascii="Times New Roman" w:hAnsi="Times New Roman"/>
                <w:sz w:val="20"/>
              </w:rPr>
              <w:t>5</w:t>
            </w:r>
          </w:p>
        </w:tc>
        <w:tc>
          <w:tcPr>
            <w:tcW w:type="dxa" w:w="2160"/>
          </w:tcPr>
          <w:p>
            <w:r>
              <w:rPr>
                <w:rFonts w:ascii="Times New Roman" w:hAnsi="Times New Roman"/>
                <w:sz w:val="20"/>
              </w:rPr>
              <w:t>Metodología 6 fases</w:t>
            </w:r>
          </w:p>
        </w:tc>
        <w:tc>
          <w:tcPr>
            <w:tcW w:type="dxa" w:w="2160"/>
          </w:tcPr>
          <w:p>
            <w:r>
              <w:rPr>
                <w:rFonts w:ascii="Times New Roman" w:hAnsi="Times New Roman"/>
                <w:sz w:val="20"/>
              </w:rPr>
              <w:t>Diseño experimental</w:t>
            </w:r>
          </w:p>
        </w:tc>
        <w:tc>
          <w:tcPr>
            <w:tcW w:type="dxa" w:w="2160"/>
          </w:tcPr>
          <w:p>
            <w:r>
              <w:rPr>
                <w:rFonts w:ascii="Times New Roman" w:hAnsi="Times New Roman"/>
                <w:sz w:val="20"/>
              </w:rPr>
              <w:t>0:50</w:t>
            </w:r>
          </w:p>
        </w:tc>
      </w:tr>
      <w:tr>
        <w:tc>
          <w:tcPr>
            <w:tcW w:type="dxa" w:w="2160"/>
          </w:tcPr>
          <w:p>
            <w:r>
              <w:rPr>
                <w:rFonts w:ascii="Times New Roman" w:hAnsi="Times New Roman"/>
                <w:sz w:val="20"/>
              </w:rPr>
              <w:t>6</w:t>
            </w:r>
          </w:p>
        </w:tc>
        <w:tc>
          <w:tcPr>
            <w:tcW w:type="dxa" w:w="2160"/>
          </w:tcPr>
          <w:p>
            <w:r>
              <w:rPr>
                <w:rFonts w:ascii="Times New Roman" w:hAnsi="Times New Roman"/>
                <w:sz w:val="20"/>
              </w:rPr>
              <w:t>Marco teórico</w:t>
            </w:r>
          </w:p>
        </w:tc>
        <w:tc>
          <w:tcPr>
            <w:tcW w:type="dxa" w:w="2160"/>
          </w:tcPr>
          <w:p>
            <w:r>
              <w:rPr>
                <w:rFonts w:ascii="Times New Roman" w:hAnsi="Times New Roman"/>
                <w:sz w:val="20"/>
              </w:rPr>
              <w:t>4 pilares conceptuales</w:t>
            </w:r>
          </w:p>
        </w:tc>
        <w:tc>
          <w:tcPr>
            <w:tcW w:type="dxa" w:w="2160"/>
          </w:tcPr>
          <w:p>
            <w:r>
              <w:rPr>
                <w:rFonts w:ascii="Times New Roman" w:hAnsi="Times New Roman"/>
                <w:sz w:val="20"/>
              </w:rPr>
              <w:t>0:50</w:t>
            </w:r>
          </w:p>
        </w:tc>
      </w:tr>
      <w:tr>
        <w:tc>
          <w:tcPr>
            <w:tcW w:type="dxa" w:w="2160"/>
          </w:tcPr>
          <w:p>
            <w:r>
              <w:rPr>
                <w:rFonts w:ascii="Times New Roman" w:hAnsi="Times New Roman"/>
                <w:sz w:val="20"/>
              </w:rPr>
              <w:t>7</w:t>
            </w:r>
          </w:p>
        </w:tc>
        <w:tc>
          <w:tcPr>
            <w:tcW w:type="dxa" w:w="2160"/>
          </w:tcPr>
          <w:p>
            <w:r>
              <w:rPr>
                <w:rFonts w:ascii="Times New Roman" w:hAnsi="Times New Roman"/>
                <w:sz w:val="20"/>
              </w:rPr>
              <w:t>Pipeline 3 etapas</w:t>
            </w:r>
          </w:p>
        </w:tc>
        <w:tc>
          <w:tcPr>
            <w:tcW w:type="dxa" w:w="2160"/>
          </w:tcPr>
          <w:p>
            <w:r>
              <w:rPr>
                <w:rFonts w:ascii="Times New Roman" w:hAnsi="Times New Roman"/>
                <w:sz w:val="20"/>
              </w:rPr>
              <w:t>Aporte central</w:t>
            </w:r>
          </w:p>
        </w:tc>
        <w:tc>
          <w:tcPr>
            <w:tcW w:type="dxa" w:w="2160"/>
          </w:tcPr>
          <w:p>
            <w:r>
              <w:rPr>
                <w:rFonts w:ascii="Times New Roman" w:hAnsi="Times New Roman"/>
                <w:sz w:val="20"/>
              </w:rPr>
              <w:t>1:00</w:t>
            </w:r>
          </w:p>
        </w:tc>
      </w:tr>
      <w:tr>
        <w:tc>
          <w:tcPr>
            <w:tcW w:type="dxa" w:w="2160"/>
          </w:tcPr>
          <w:p>
            <w:r>
              <w:rPr>
                <w:rFonts w:ascii="Times New Roman" w:hAnsi="Times New Roman"/>
                <w:sz w:val="20"/>
              </w:rPr>
              <w:t>8</w:t>
            </w:r>
          </w:p>
        </w:tc>
        <w:tc>
          <w:tcPr>
            <w:tcW w:type="dxa" w:w="2160"/>
          </w:tcPr>
          <w:p>
            <w:r>
              <w:rPr>
                <w:rFonts w:ascii="Times New Roman" w:hAnsi="Times New Roman"/>
                <w:sz w:val="20"/>
              </w:rPr>
              <w:t>Resultados OE1+OE2</w:t>
            </w:r>
          </w:p>
        </w:tc>
        <w:tc>
          <w:tcPr>
            <w:tcW w:type="dxa" w:w="2160"/>
          </w:tcPr>
          <w:p>
            <w:r>
              <w:rPr>
                <w:rFonts w:ascii="Times New Roman" w:hAnsi="Times New Roman"/>
                <w:sz w:val="20"/>
              </w:rPr>
              <w:t>Dataset + modelo (AUC 0,762)</w:t>
            </w:r>
          </w:p>
        </w:tc>
        <w:tc>
          <w:tcPr>
            <w:tcW w:type="dxa" w:w="2160"/>
          </w:tcPr>
          <w:p>
            <w:r>
              <w:rPr>
                <w:rFonts w:ascii="Times New Roman" w:hAnsi="Times New Roman"/>
                <w:sz w:val="20"/>
              </w:rPr>
              <w:t>1:00</w:t>
            </w:r>
          </w:p>
        </w:tc>
      </w:tr>
      <w:tr>
        <w:tc>
          <w:tcPr>
            <w:tcW w:type="dxa" w:w="2160"/>
          </w:tcPr>
          <w:p>
            <w:r>
              <w:rPr>
                <w:rFonts w:ascii="Times New Roman" w:hAnsi="Times New Roman"/>
                <w:sz w:val="20"/>
              </w:rPr>
              <w:t>9</w:t>
            </w:r>
          </w:p>
        </w:tc>
        <w:tc>
          <w:tcPr>
            <w:tcW w:type="dxa" w:w="2160"/>
          </w:tcPr>
          <w:p>
            <w:r>
              <w:rPr>
                <w:rFonts w:ascii="Times New Roman" w:hAnsi="Times New Roman"/>
                <w:sz w:val="20"/>
              </w:rPr>
              <w:t>Resultados OE3</w:t>
            </w:r>
          </w:p>
        </w:tc>
        <w:tc>
          <w:tcPr>
            <w:tcW w:type="dxa" w:w="2160"/>
          </w:tcPr>
          <w:p>
            <w:r>
              <w:rPr>
                <w:rFonts w:ascii="Times New Roman" w:hAnsi="Times New Roman"/>
                <w:sz w:val="20"/>
              </w:rPr>
              <w:t>Optimización + restricciones</w:t>
            </w:r>
          </w:p>
        </w:tc>
        <w:tc>
          <w:tcPr>
            <w:tcW w:type="dxa" w:w="2160"/>
          </w:tcPr>
          <w:p>
            <w:r>
              <w:rPr>
                <w:rFonts w:ascii="Times New Roman" w:hAnsi="Times New Roman"/>
                <w:sz w:val="20"/>
              </w:rPr>
              <w:t>1:00</w:t>
            </w:r>
          </w:p>
        </w:tc>
      </w:tr>
      <w:tr>
        <w:tc>
          <w:tcPr>
            <w:tcW w:type="dxa" w:w="2160"/>
          </w:tcPr>
          <w:p>
            <w:r>
              <w:rPr>
                <w:rFonts w:ascii="Times New Roman" w:hAnsi="Times New Roman"/>
                <w:sz w:val="20"/>
              </w:rPr>
              <w:t>10</w:t>
            </w:r>
          </w:p>
        </w:tc>
        <w:tc>
          <w:tcPr>
            <w:tcW w:type="dxa" w:w="2160"/>
          </w:tcPr>
          <w:p>
            <w:r>
              <w:rPr>
                <w:rFonts w:ascii="Times New Roman" w:hAnsi="Times New Roman"/>
                <w:sz w:val="20"/>
              </w:rPr>
              <w:t>Resultados OE4 — tabla</w:t>
            </w:r>
          </w:p>
        </w:tc>
        <w:tc>
          <w:tcPr>
            <w:tcW w:type="dxa" w:w="2160"/>
          </w:tcPr>
          <w:p>
            <w:r>
              <w:rPr>
                <w:rFonts w:ascii="Times New Roman" w:hAnsi="Times New Roman"/>
                <w:sz w:val="20"/>
              </w:rPr>
              <w:t>Modelo vs Baseline, p&lt;0,001</w:t>
            </w:r>
          </w:p>
        </w:tc>
        <w:tc>
          <w:tcPr>
            <w:tcW w:type="dxa" w:w="2160"/>
          </w:tcPr>
          <w:p>
            <w:r>
              <w:rPr>
                <w:rFonts w:ascii="Times New Roman" w:hAnsi="Times New Roman"/>
                <w:sz w:val="20"/>
              </w:rPr>
              <w:t>1:30</w:t>
            </w:r>
          </w:p>
        </w:tc>
      </w:tr>
      <w:tr>
        <w:tc>
          <w:tcPr>
            <w:tcW w:type="dxa" w:w="2160"/>
          </w:tcPr>
          <w:p>
            <w:r>
              <w:rPr>
                <w:rFonts w:ascii="Times New Roman" w:hAnsi="Times New Roman"/>
                <w:sz w:val="20"/>
              </w:rPr>
              <w:t>11</w:t>
            </w:r>
          </w:p>
        </w:tc>
        <w:tc>
          <w:tcPr>
            <w:tcW w:type="dxa" w:w="2160"/>
          </w:tcPr>
          <w:p>
            <w:r>
              <w:rPr>
                <w:rFonts w:ascii="Times New Roman" w:hAnsi="Times New Roman"/>
                <w:sz w:val="20"/>
              </w:rPr>
              <w:t>Gráfica de reducción</w:t>
            </w:r>
          </w:p>
        </w:tc>
        <w:tc>
          <w:tcPr>
            <w:tcW w:type="dxa" w:w="2160"/>
          </w:tcPr>
          <w:p>
            <w:r>
              <w:rPr>
                <w:rFonts w:ascii="Times New Roman" w:hAnsi="Times New Roman"/>
                <w:sz w:val="20"/>
              </w:rPr>
              <w:t>Magnitud por escenario</w:t>
            </w:r>
          </w:p>
        </w:tc>
        <w:tc>
          <w:tcPr>
            <w:tcW w:type="dxa" w:w="2160"/>
          </w:tcPr>
          <w:p>
            <w:r>
              <w:rPr>
                <w:rFonts w:ascii="Times New Roman" w:hAnsi="Times New Roman"/>
                <w:sz w:val="20"/>
              </w:rPr>
              <w:t>0:40</w:t>
            </w:r>
          </w:p>
        </w:tc>
      </w:tr>
      <w:tr>
        <w:tc>
          <w:tcPr>
            <w:tcW w:type="dxa" w:w="2160"/>
          </w:tcPr>
          <w:p>
            <w:r>
              <w:rPr>
                <w:rFonts w:ascii="Times New Roman" w:hAnsi="Times New Roman"/>
                <w:sz w:val="20"/>
              </w:rPr>
              <w:t>12</w:t>
            </w:r>
          </w:p>
        </w:tc>
        <w:tc>
          <w:tcPr>
            <w:tcW w:type="dxa" w:w="2160"/>
          </w:tcPr>
          <w:p>
            <w:r>
              <w:rPr>
                <w:rFonts w:ascii="Times New Roman" w:hAnsi="Times New Roman"/>
                <w:sz w:val="20"/>
              </w:rPr>
              <w:t>Dashboard interactivo</w:t>
            </w:r>
          </w:p>
        </w:tc>
        <w:tc>
          <w:tcPr>
            <w:tcW w:type="dxa" w:w="2160"/>
          </w:tcPr>
          <w:p>
            <w:r>
              <w:rPr>
                <w:rFonts w:ascii="Times New Roman" w:hAnsi="Times New Roman"/>
                <w:sz w:val="20"/>
              </w:rPr>
              <w:t>Anexo B</w:t>
            </w:r>
          </w:p>
        </w:tc>
        <w:tc>
          <w:tcPr>
            <w:tcW w:type="dxa" w:w="2160"/>
          </w:tcPr>
          <w:p>
            <w:r>
              <w:rPr>
                <w:rFonts w:ascii="Times New Roman" w:hAnsi="Times New Roman"/>
                <w:sz w:val="20"/>
              </w:rPr>
              <w:t>0:50</w:t>
            </w:r>
          </w:p>
        </w:tc>
      </w:tr>
      <w:tr>
        <w:tc>
          <w:tcPr>
            <w:tcW w:type="dxa" w:w="2160"/>
          </w:tcPr>
          <w:p>
            <w:r>
              <w:rPr>
                <w:rFonts w:ascii="Times New Roman" w:hAnsi="Times New Roman"/>
                <w:sz w:val="20"/>
              </w:rPr>
              <w:t>13</w:t>
            </w:r>
          </w:p>
        </w:tc>
        <w:tc>
          <w:tcPr>
            <w:tcW w:type="dxa" w:w="2160"/>
          </w:tcPr>
          <w:p>
            <w:r>
              <w:rPr>
                <w:rFonts w:ascii="Times New Roman" w:hAnsi="Times New Roman"/>
                <w:sz w:val="20"/>
              </w:rPr>
              <w:t>Conclusiones principales</w:t>
            </w:r>
          </w:p>
        </w:tc>
        <w:tc>
          <w:tcPr>
            <w:tcW w:type="dxa" w:w="2160"/>
          </w:tcPr>
          <w:p>
            <w:r>
              <w:rPr>
                <w:rFonts w:ascii="Times New Roman" w:hAnsi="Times New Roman"/>
                <w:sz w:val="20"/>
              </w:rPr>
              <w:t>4 hallazgos</w:t>
            </w:r>
          </w:p>
        </w:tc>
        <w:tc>
          <w:tcPr>
            <w:tcW w:type="dxa" w:w="2160"/>
          </w:tcPr>
          <w:p>
            <w:r>
              <w:rPr>
                <w:rFonts w:ascii="Times New Roman" w:hAnsi="Times New Roman"/>
                <w:sz w:val="20"/>
              </w:rPr>
              <w:t>1:10</w:t>
            </w:r>
          </w:p>
        </w:tc>
      </w:tr>
      <w:tr>
        <w:tc>
          <w:tcPr>
            <w:tcW w:type="dxa" w:w="2160"/>
          </w:tcPr>
          <w:p>
            <w:r>
              <w:rPr>
                <w:rFonts w:ascii="Times New Roman" w:hAnsi="Times New Roman"/>
                <w:sz w:val="20"/>
              </w:rPr>
              <w:t>14</w:t>
            </w:r>
          </w:p>
        </w:tc>
        <w:tc>
          <w:tcPr>
            <w:tcW w:type="dxa" w:w="2160"/>
          </w:tcPr>
          <w:p>
            <w:r>
              <w:rPr>
                <w:rFonts w:ascii="Times New Roman" w:hAnsi="Times New Roman"/>
                <w:sz w:val="20"/>
              </w:rPr>
              <w:t>Limitaciones y trabajo futuro</w:t>
            </w:r>
          </w:p>
        </w:tc>
        <w:tc>
          <w:tcPr>
            <w:tcW w:type="dxa" w:w="2160"/>
          </w:tcPr>
          <w:p>
            <w:r>
              <w:rPr>
                <w:rFonts w:ascii="Times New Roman" w:hAnsi="Times New Roman"/>
                <w:sz w:val="20"/>
              </w:rPr>
              <w:t>Lo que sigue</w:t>
            </w:r>
          </w:p>
        </w:tc>
        <w:tc>
          <w:tcPr>
            <w:tcW w:type="dxa" w:w="2160"/>
          </w:tcPr>
          <w:p>
            <w:r>
              <w:rPr>
                <w:rFonts w:ascii="Times New Roman" w:hAnsi="Times New Roman"/>
                <w:sz w:val="20"/>
              </w:rPr>
              <w:t>1:00</w:t>
            </w:r>
          </w:p>
        </w:tc>
      </w:tr>
      <w:tr>
        <w:tc>
          <w:tcPr>
            <w:tcW w:type="dxa" w:w="2160"/>
          </w:tcPr>
          <w:p>
            <w:r>
              <w:rPr>
                <w:rFonts w:ascii="Times New Roman" w:hAnsi="Times New Roman"/>
                <w:sz w:val="20"/>
              </w:rPr>
              <w:t>15</w:t>
            </w:r>
          </w:p>
        </w:tc>
        <w:tc>
          <w:tcPr>
            <w:tcW w:type="dxa" w:w="2160"/>
          </w:tcPr>
          <w:p>
            <w:r>
              <w:rPr>
                <w:rFonts w:ascii="Times New Roman" w:hAnsi="Times New Roman"/>
                <w:sz w:val="20"/>
              </w:rPr>
              <w:t>Cierre y referencias</w:t>
            </w:r>
          </w:p>
        </w:tc>
        <w:tc>
          <w:tcPr>
            <w:tcW w:type="dxa" w:w="2160"/>
          </w:tcPr>
          <w:p>
            <w:r>
              <w:rPr>
                <w:rFonts w:ascii="Times New Roman" w:hAnsi="Times New Roman"/>
                <w:sz w:val="20"/>
              </w:rPr>
              <w:t>Agradecimientos</w:t>
            </w:r>
          </w:p>
        </w:tc>
        <w:tc>
          <w:tcPr>
            <w:tcW w:type="dxa" w:w="2160"/>
          </w:tcPr>
          <w:p>
            <w:r>
              <w:rPr>
                <w:rFonts w:ascii="Times New Roman" w:hAnsi="Times New Roman"/>
                <w:sz w:val="20"/>
              </w:rPr>
              <w:t>0:40</w:t>
            </w:r>
          </w:p>
        </w:tc>
      </w:tr>
      <w:tr>
        <w:tc>
          <w:tcPr>
            <w:tcW w:type="dxa" w:w="2160"/>
          </w:tcPr>
          <w:p>
            <w:r>
              <w:rPr>
                <w:rFonts w:ascii="Times New Roman" w:hAnsi="Times New Roman"/>
                <w:sz w:val="20"/>
              </w:rPr>
            </w:r>
          </w:p>
        </w:tc>
        <w:tc>
          <w:tcPr>
            <w:tcW w:type="dxa" w:w="2160"/>
          </w:tcPr>
          <w:p>
            <w:r>
              <w:rPr>
                <w:rFonts w:ascii="Times New Roman" w:hAnsi="Times New Roman"/>
                <w:sz w:val="20"/>
              </w:rPr>
              <w:t>TOTAL</w:t>
            </w:r>
          </w:p>
        </w:tc>
        <w:tc>
          <w:tcPr>
            <w:tcW w:type="dxa" w:w="2160"/>
          </w:tcPr>
          <w:p>
            <w:r>
              <w:rPr>
                <w:rFonts w:ascii="Times New Roman" w:hAnsi="Times New Roman"/>
                <w:sz w:val="20"/>
              </w:rPr>
            </w:r>
          </w:p>
        </w:tc>
        <w:tc>
          <w:tcPr>
            <w:tcW w:type="dxa" w:w="2160"/>
          </w:tcPr>
          <w:p>
            <w:r>
              <w:rPr>
                <w:rFonts w:ascii="Times New Roman" w:hAnsi="Times New Roman"/>
                <w:sz w:val="20"/>
              </w:rPr>
              <w:t>≈ 14:00</w:t>
            </w:r>
          </w:p>
        </w:tc>
      </w:tr>
    </w:tbl>
    <w:p/>
    <w:p>
      <w:pPr>
        <w:pStyle w:val="Heading1"/>
      </w:pPr>
      <w:r>
        <w:rPr>
          <w:rFonts w:ascii="Times New Roman" w:hAnsi="Times New Roman"/>
          <w:color w:val="1F3A5F"/>
        </w:rPr>
        <w:t>Demos opcionales (si te queda tiempo)</w:t>
      </w:r>
    </w:p>
    <w:p>
      <w:pPr>
        <w:jc w:val="both"/>
      </w:pPr>
      <w:r>
        <w:rPr>
          <w:rFonts w:ascii="Times New Roman" w:hAnsi="Times New Roman"/>
          <w:b w:val="0"/>
          <w:i w:val="0"/>
          <w:sz w:val="22"/>
        </w:rPr>
        <w:t>Si llegas con margen al minuto doce y quieres demostrar el código en vivo, estas son las acciones cortas que puedes intercalar:</w:t>
      </w:r>
    </w:p>
    <w:p>
      <w:pPr>
        <w:pStyle w:val="ListBullet"/>
        <w:jc w:val="both"/>
      </w:pPr>
      <w:r>
        <w:rPr>
          <w:rFonts w:ascii="Times New Roman" w:hAnsi="Times New Roman"/>
          <w:sz w:val="22"/>
        </w:rPr>
        <w:t>Entre slide 8 y 9: ejecutar generar_backlog_semanal() en la terminal y mostrar la salida (≈ 30 s).</w:t>
      </w:r>
    </w:p>
    <w:p>
      <w:pPr>
        <w:pStyle w:val="ListBullet"/>
        <w:jc w:val="both"/>
      </w:pPr>
      <w:r>
        <w:rPr>
          <w:rFonts w:ascii="Times New Roman" w:hAnsi="Times New Roman"/>
          <w:sz w:val="22"/>
        </w:rPr>
        <w:t>Entre slide 9 y 10: ejecutar main.py --replicas 3 para mostrar el pipeline completo terminando (≈ 45 s).</w:t>
      </w:r>
    </w:p>
    <w:p>
      <w:pPr>
        <w:pStyle w:val="ListBullet"/>
        <w:jc w:val="both"/>
      </w:pPr>
      <w:r>
        <w:rPr>
          <w:rFonts w:ascii="Times New Roman" w:hAnsi="Times New Roman"/>
          <w:sz w:val="22"/>
        </w:rPr>
        <w:t>Después de slide 12: abrir dashboard_resultados.html en el navegador y hacer scroll mostrando KPIs y gráficas (≈ 45 s).</w:t>
      </w:r>
    </w:p>
    <w:p>
      <w:pPr>
        <w:jc w:val="both"/>
      </w:pPr>
      <w:r>
        <w:rPr>
          <w:rFonts w:ascii="Times New Roman" w:hAnsi="Times New Roman"/>
          <w:b w:val="0"/>
          <w:i w:val="0"/>
          <w:sz w:val="22"/>
        </w:rPr>
        <w:t>Si te queda corto el tiempo, prioriza la primera demo (generador de datos) y el dashboard.</w:t>
      </w:r>
    </w:p>
    <w:p/>
    <w:p>
      <w:pPr>
        <w:pStyle w:val="Heading1"/>
      </w:pPr>
      <w:r>
        <w:rPr>
          <w:rFonts w:ascii="Times New Roman" w:hAnsi="Times New Roman"/>
          <w:color w:val="1F3A5F"/>
        </w:rPr>
        <w:t>Frases ancla por si te bloqueas</w:t>
      </w:r>
    </w:p>
    <w:p>
      <w:pPr>
        <w:pStyle w:val="Heading2"/>
      </w:pPr>
      <w:r>
        <w:rPr>
          <w:rFonts w:ascii="Times New Roman" w:hAnsi="Times New Roman"/>
          <w:color w:val="2E75B6"/>
        </w:rPr>
        <w:t>Para empezar cualquier slide de resultados</w:t>
      </w:r>
    </w:p>
    <w:p>
      <w:pPr>
        <w:jc w:val="both"/>
      </w:pPr>
      <w:r>
        <w:rPr>
          <w:rFonts w:ascii="Times New Roman" w:hAnsi="Times New Roman"/>
          <w:b w:val="0"/>
          <w:i/>
          <w:sz w:val="22"/>
        </w:rPr>
        <w:t>Aquí lo que muestro es…</w:t>
      </w:r>
    </w:p>
    <w:p>
      <w:pPr>
        <w:pStyle w:val="Heading2"/>
      </w:pPr>
      <w:r>
        <w:rPr>
          <w:rFonts w:ascii="Times New Roman" w:hAnsi="Times New Roman"/>
          <w:color w:val="2E75B6"/>
        </w:rPr>
        <w:t>Para introducir una métrica nueva</w:t>
      </w:r>
    </w:p>
    <w:p>
      <w:pPr>
        <w:jc w:val="both"/>
      </w:pPr>
      <w:r>
        <w:rPr>
          <w:rFonts w:ascii="Times New Roman" w:hAnsi="Times New Roman"/>
          <w:b w:val="0"/>
          <w:i/>
          <w:sz w:val="22"/>
        </w:rPr>
        <w:t>El indicador clave en este punto es…</w:t>
      </w:r>
    </w:p>
    <w:p>
      <w:pPr>
        <w:pStyle w:val="Heading2"/>
      </w:pPr>
      <w:r>
        <w:rPr>
          <w:rFonts w:ascii="Times New Roman" w:hAnsi="Times New Roman"/>
          <w:color w:val="2E75B6"/>
        </w:rPr>
        <w:t>Para cerrar una conclusión</w:t>
      </w:r>
    </w:p>
    <w:p>
      <w:pPr>
        <w:jc w:val="both"/>
      </w:pPr>
      <w:r>
        <w:rPr>
          <w:rFonts w:ascii="Times New Roman" w:hAnsi="Times New Roman"/>
          <w:b w:val="0"/>
          <w:i/>
          <w:sz w:val="22"/>
        </w:rPr>
        <w:t>En resumen, esto demuestra que…</w:t>
      </w:r>
    </w:p>
    <w:p>
      <w:pPr>
        <w:pStyle w:val="Heading2"/>
      </w:pPr>
      <w:r>
        <w:rPr>
          <w:rFonts w:ascii="Times New Roman" w:hAnsi="Times New Roman"/>
          <w:color w:val="2E75B6"/>
        </w:rPr>
        <w:t>Para terminar</w:t>
      </w:r>
    </w:p>
    <w:p>
      <w:pPr>
        <w:jc w:val="both"/>
      </w:pPr>
      <w:r>
        <w:rPr>
          <w:rFonts w:ascii="Times New Roman" w:hAnsi="Times New Roman"/>
          <w:b w:val="0"/>
          <w:i/>
          <w:sz w:val="22"/>
        </w:rPr>
        <w:t>Quedo atento a sus comentarios y preguntas.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