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4"/>
        </w:rPr>
        <w:t>Demostración del código — guion narrado</w:t>
      </w:r>
    </w:p>
    <w:p>
      <w:pPr>
        <w:jc w:val="center"/>
      </w:pPr>
      <w:r>
        <w:rPr>
          <w:i/>
          <w:sz w:val="26"/>
        </w:rPr>
        <w:t>Modelo predictivo–prescriptivo para priorizar el backlog del mantenimiento</w:t>
      </w:r>
    </w:p>
    <w:p>
      <w:pPr>
        <w:jc w:val="center"/>
      </w:pPr>
      <w:r>
        <w:br/>
        <w:t>Aníbal Antonio De Avila Rueda · Especialización en Automatización Industrial · UMB 2026</w:t>
      </w:r>
    </w:p>
    <w:p/>
    <w:p>
      <w:pPr>
        <w:pStyle w:val="Heading1"/>
      </w:pPr>
      <w:r>
        <w:rPr>
          <w:rFonts w:ascii="Times New Roman" w:hAnsi="Times New Roman"/>
          <w:color w:val="1F3A5F"/>
        </w:rPr>
        <w:t>Cómo leer este guion</w:t>
      </w:r>
    </w:p>
    <w:p>
      <w:pPr>
        <w:jc w:val="both"/>
      </w:pPr>
      <w:r>
        <w:rPr>
          <w:rFonts w:ascii="Times New Roman" w:hAnsi="Times New Roman"/>
          <w:b w:val="0"/>
          <w:i w:val="0"/>
          <w:sz w:val="22"/>
        </w:rPr>
        <w:t>Este documento reemplaza el Bloque B del guion anterior con narrativa explícita. Cada paso de la demostración está dividido en pequeños cuadros con dos partes:</w:t>
      </w:r>
    </w:p>
    <w:p>
      <w:pPr>
        <w:pStyle w:val="ListBullet"/>
        <w:jc w:val="both"/>
      </w:pPr>
      <w:r>
        <w:rPr>
          <w:rFonts w:ascii="Times New Roman" w:hAnsi="Times New Roman"/>
          <w:i w:val="0"/>
          <w:sz w:val="22"/>
        </w:rPr>
        <w:t>ACCIÓN (recuadro amarillo): qué archivo abrir, qué bloque señalar con el cursor o resaltar en pantalla.</w:t>
      </w:r>
    </w:p>
    <w:p>
      <w:pPr>
        <w:pStyle w:val="ListBullet"/>
        <w:jc w:val="both"/>
      </w:pPr>
      <w:r>
        <w:rPr>
          <w:rFonts w:ascii="Times New Roman" w:hAnsi="Times New Roman"/>
          <w:i w:val="0"/>
          <w:sz w:val="22"/>
        </w:rPr>
        <w:t>FRASE LITERAL (recuadro azul, en cursiva): exactamente lo que debes decir mientras se ve esa parte del código en pantalla.</w:t>
      </w:r>
    </w:p>
    <w:p>
      <w:pPr>
        <w:jc w:val="both"/>
      </w:pPr>
      <w:r>
        <w:rPr>
          <w:rFonts w:ascii="Times New Roman" w:hAnsi="Times New Roman"/>
          <w:b w:val="0"/>
          <w:i w:val="0"/>
          <w:sz w:val="22"/>
        </w:rPr>
        <w:t>No tienes que memorizar palabra por palabra; usa la frase como guía. Si te trabas, léela en voz natural. Tiempo total estimado del Bloque B: 5–7 minutos.</w:t>
      </w:r>
    </w:p>
    <w:p>
      <w:pPr>
        <w:pStyle w:val="Heading1"/>
      </w:pPr>
      <w:r>
        <w:rPr>
          <w:rFonts w:ascii="Times New Roman" w:hAnsi="Times New Roman"/>
          <w:color w:val="1F3A5F"/>
        </w:rPr>
        <w:t>Antes de iniciar la grabación</w:t>
      </w:r>
    </w:p>
    <w:p>
      <w:pPr>
        <w:pStyle w:val="ListBullet"/>
        <w:jc w:val="both"/>
      </w:pPr>
      <w:r>
        <w:rPr>
          <w:rFonts w:ascii="Times New Roman" w:hAnsi="Times New Roman"/>
          <w:i w:val="0"/>
          <w:sz w:val="22"/>
        </w:rPr>
        <w:t>Editor de código (VS Code/PyCharm) abierto con la carpeta proyecto/.</w:t>
      </w:r>
    </w:p>
    <w:p>
      <w:pPr>
        <w:pStyle w:val="ListBullet"/>
        <w:jc w:val="both"/>
      </w:pPr>
      <w:r>
        <w:rPr>
          <w:rFonts w:ascii="Times New Roman" w:hAnsi="Times New Roman"/>
          <w:i w:val="0"/>
          <w:sz w:val="22"/>
        </w:rPr>
        <w:t>Pestañas listas en este orden: data_generator.py · model.py · optimizer.py · baseline.py · main.py.</w:t>
      </w:r>
    </w:p>
    <w:p>
      <w:pPr>
        <w:pStyle w:val="ListBullet"/>
        <w:jc w:val="both"/>
      </w:pPr>
      <w:r>
        <w:rPr>
          <w:rFonts w:ascii="Times New Roman" w:hAnsi="Times New Roman"/>
          <w:i w:val="0"/>
          <w:sz w:val="22"/>
        </w:rPr>
        <w:t>Una terminal posicionada en proyecto/ con el entorno virtual activo.</w:t>
      </w:r>
    </w:p>
    <w:p>
      <w:pPr>
        <w:pStyle w:val="ListBullet"/>
        <w:jc w:val="both"/>
      </w:pPr>
      <w:r>
        <w:rPr>
          <w:rFonts w:ascii="Times New Roman" w:hAnsi="Times New Roman"/>
          <w:i w:val="0"/>
          <w:sz w:val="22"/>
        </w:rPr>
        <w:t>Navegador con dashboard_resultados.html cargado en una pestaña.</w:t>
      </w:r>
    </w:p>
    <w:p>
      <w:pPr>
        <w:pStyle w:val="ListBullet"/>
        <w:jc w:val="both"/>
      </w:pPr>
      <w:r>
        <w:rPr>
          <w:rFonts w:ascii="Times New Roman" w:hAnsi="Times New Roman"/>
          <w:i w:val="0"/>
          <w:sz w:val="22"/>
        </w:rPr>
        <w:t>Tamaño de fuente del editor en 16–18 pt para que se lea bien al grabar.</w:t>
      </w:r>
    </w:p>
    <w:p>
      <w:r>
        <w:br w:type="page"/>
      </w:r>
    </w:p>
    <w:p>
      <w:pPr>
        <w:pStyle w:val="Heading1"/>
      </w:pPr>
      <w:r>
        <w:rPr>
          <w:rFonts w:ascii="Times New Roman" w:hAnsi="Times New Roman"/>
          <w:color w:val="1F3A5F"/>
        </w:rPr>
        <w:t>Paso 1 — Generador de datos sintéticos (OE1)</w:t>
      </w:r>
    </w:p>
    <w:p>
      <w:pPr>
        <w:pStyle w:val="Heading2"/>
      </w:pPr>
      <w:r>
        <w:rPr>
          <w:rFonts w:ascii="Times New Roman" w:hAnsi="Times New Roman"/>
          <w:color w:val="2E75B6"/>
        </w:rPr>
        <w:t>1.1 Apertura del módulo</w:t>
      </w:r>
    </w:p>
    <w:tbl>
      <w:tblPr>
        <w:tblW w:type="auto" w:w="0"/>
        <w:tblLook w:firstColumn="1" w:firstRow="1" w:lastColumn="0" w:lastRow="0" w:noHBand="0" w:noVBand="1" w:val="04A0"/>
      </w:tblPr>
      <w:tblGrid>
        <w:gridCol w:w="8640"/>
      </w:tblGrid>
      <w:tr>
        <w:tc>
          <w:tcPr>
            <w:tcW w:type="dxa" w:w="8640"/>
            <w:shd w:val="clear" w:color="auto" w:fill="FFF1CC"/>
          </w:tcPr>
          <w:p>
            <w:r>
              <w:rPr>
                <w:rFonts w:ascii="Calibri" w:hAnsi="Calibri"/>
                <w:b/>
                <w:color w:val="C07010"/>
                <w:sz w:val="20"/>
              </w:rPr>
              <w:t xml:space="preserve">ACCIÓN: </w:t>
            </w:r>
            <w:r>
              <w:rPr>
                <w:rFonts w:ascii="Calibri" w:hAnsi="Calibri"/>
                <w:sz w:val="20"/>
              </w:rPr>
              <w:t>Abre src/data_generator.py. Ubica el cursor en la parte superior del archivo (docstring + imports).</w:t>
            </w:r>
          </w:p>
        </w:tc>
      </w:tr>
      <w:tr>
        <w:tc>
          <w:tcPr>
            <w:tcW w:type="dxa" w:w="8640"/>
            <w:shd w:val="clear" w:color="auto" w:fill="EAF1F8"/>
          </w:tcPr>
          <w:p>
            <w:pPr>
              <w:jc w:val="both"/>
            </w:pPr>
            <w:r>
              <w:rPr>
                <w:rFonts w:ascii="Times New Roman" w:hAnsi="Times New Roman"/>
                <w:i/>
                <w:sz w:val="22"/>
              </w:rPr>
              <w:t>"Este es el módulo data_generator punto py. Es el responsable del primer objetivo específico del trabajo: construir un dataset simulado y reproducible que sirva tanto para entrenar el modelo predictivo como para probar el optimizador. Está implementado en numpy y pandas puros, sin dependencias adicionales, lo que garantiza que cualquiera pueda reproducir los experimentos sin instalar nada exótico."</w:t>
            </w:r>
          </w:p>
        </w:tc>
      </w:tr>
    </w:tbl>
    <w:p/>
    <w:p>
      <w:pPr>
        <w:pStyle w:val="Heading2"/>
      </w:pPr>
      <w:r>
        <w:rPr>
          <w:rFonts w:ascii="Times New Roman" w:hAnsi="Times New Roman"/>
          <w:color w:val="2E75B6"/>
        </w:rPr>
        <w:t>1.2 Catálogos de referencia</w:t>
      </w:r>
    </w:p>
    <w:tbl>
      <w:tblPr>
        <w:tblW w:type="auto" w:w="0"/>
        <w:tblLook w:firstColumn="1" w:firstRow="1" w:lastColumn="0" w:lastRow="0" w:noHBand="0" w:noVBand="1" w:val="04A0"/>
      </w:tblPr>
      <w:tblGrid>
        <w:gridCol w:w="8640"/>
      </w:tblGrid>
      <w:tr>
        <w:tc>
          <w:tcPr>
            <w:tcW w:type="dxa" w:w="8640"/>
            <w:shd w:val="clear" w:color="auto" w:fill="FFF1CC"/>
          </w:tcPr>
          <w:p>
            <w:r>
              <w:rPr>
                <w:rFonts w:ascii="Calibri" w:hAnsi="Calibri"/>
                <w:b/>
                <w:color w:val="C07010"/>
                <w:sz w:val="20"/>
              </w:rPr>
              <w:t xml:space="preserve">ACCIÓN: </w:t>
            </w:r>
            <w:r>
              <w:rPr>
                <w:rFonts w:ascii="Calibri" w:hAnsi="Calibri"/>
                <w:sz w:val="20"/>
              </w:rPr>
              <w:t>Desplázate hasta las constantes CLASES_EQUIPO, HABILIDADES y HABILIDAD_POR_CLASE.</w:t>
            </w:r>
          </w:p>
        </w:tc>
      </w:tr>
      <w:tr>
        <w:tc>
          <w:tcPr>
            <w:tcW w:type="dxa" w:w="8640"/>
            <w:shd w:val="clear" w:color="auto" w:fill="EAF1F8"/>
          </w:tcPr>
          <w:p>
            <w:pPr>
              <w:jc w:val="both"/>
            </w:pPr>
            <w:r>
              <w:rPr>
                <w:rFonts w:ascii="Times New Roman" w:hAnsi="Times New Roman"/>
                <w:i/>
                <w:sz w:val="22"/>
              </w:rPr>
              <w:t>"Aquí defino los catálogos base, alineados con la estructura ISO 14224 para datos de confiabilidad: tres clases de equipo —instrumentación, mecánico y eléctrico— y la habilidad principal asociada a cada una. Esta separación es clave porque el optimizador respeta restricciones de capacidad por habilidad, no solo capacidad total."</w:t>
            </w:r>
          </w:p>
        </w:tc>
      </w:tr>
    </w:tbl>
    <w:p/>
    <w:p>
      <w:pPr>
        <w:pStyle w:val="Heading2"/>
      </w:pPr>
      <w:r>
        <w:rPr>
          <w:rFonts w:ascii="Times New Roman" w:hAnsi="Times New Roman"/>
          <w:color w:val="2E75B6"/>
        </w:rPr>
        <w:t>1.3 ConfigEscenario</w:t>
      </w:r>
    </w:p>
    <w:tbl>
      <w:tblPr>
        <w:tblW w:type="auto" w:w="0"/>
        <w:tblLook w:firstColumn="1" w:firstRow="1" w:lastColumn="0" w:lastRow="0" w:noHBand="0" w:noVBand="1" w:val="04A0"/>
      </w:tblPr>
      <w:tblGrid>
        <w:gridCol w:w="8640"/>
      </w:tblGrid>
      <w:tr>
        <w:tc>
          <w:tcPr>
            <w:tcW w:type="dxa" w:w="8640"/>
            <w:shd w:val="clear" w:color="auto" w:fill="FFF1CC"/>
          </w:tcPr>
          <w:p>
            <w:r>
              <w:rPr>
                <w:rFonts w:ascii="Calibri" w:hAnsi="Calibri"/>
                <w:b/>
                <w:color w:val="C07010"/>
                <w:sz w:val="20"/>
              </w:rPr>
              <w:t xml:space="preserve">ACCIÓN: </w:t>
            </w:r>
            <w:r>
              <w:rPr>
                <w:rFonts w:ascii="Calibri" w:hAnsi="Calibri"/>
                <w:sz w:val="20"/>
              </w:rPr>
              <w:t>Sube hasta la dataclass ConfigEscenario.</w:t>
            </w:r>
          </w:p>
        </w:tc>
      </w:tr>
      <w:tr>
        <w:tc>
          <w:tcPr>
            <w:tcW w:type="dxa" w:w="8640"/>
            <w:shd w:val="clear" w:color="auto" w:fill="EAF1F8"/>
          </w:tcPr>
          <w:p>
            <w:pPr>
              <w:jc w:val="both"/>
            </w:pPr>
            <w:r>
              <w:rPr>
                <w:rFonts w:ascii="Times New Roman" w:hAnsi="Times New Roman"/>
                <w:i/>
                <w:sz w:val="22"/>
              </w:rPr>
              <w:t>"Esta dataclass parametriza todos los hiperparámetros del escenario: cuántas horas-hombre están disponibles, cuántas por habilidad, qué proporción de órdenes son preventivas vs correctivas, cuántos repuestos críticos hay y cuál es su lead time. Los cinco escenarios experimentales se construyen simplemente cambiando estos parámetros: por ejemplo, el escenario E2 establece factor_capacidad igual a 0,80 para simular un –20 % de capacidad, y el E3 fija repuesto_forzado_faltante en cero para simular el faltante de un repuesto crítico."</w:t>
            </w:r>
          </w:p>
        </w:tc>
      </w:tr>
    </w:tbl>
    <w:p/>
    <w:p>
      <w:pPr>
        <w:pStyle w:val="Heading2"/>
      </w:pPr>
      <w:r>
        <w:rPr>
          <w:rFonts w:ascii="Times New Roman" w:hAnsi="Times New Roman"/>
          <w:color w:val="2E75B6"/>
        </w:rPr>
        <w:t>1.4 Función generar_backlog_semanal</w:t>
      </w:r>
    </w:p>
    <w:tbl>
      <w:tblPr>
        <w:tblW w:type="auto" w:w="0"/>
        <w:tblLook w:firstColumn="1" w:firstRow="1" w:lastColumn="0" w:lastRow="0" w:noHBand="0" w:noVBand="1" w:val="04A0"/>
      </w:tblPr>
      <w:tblGrid>
        <w:gridCol w:w="8640"/>
      </w:tblGrid>
      <w:tr>
        <w:tc>
          <w:tcPr>
            <w:tcW w:type="dxa" w:w="8640"/>
            <w:shd w:val="clear" w:color="auto" w:fill="FFF1CC"/>
          </w:tcPr>
          <w:p>
            <w:r>
              <w:rPr>
                <w:rFonts w:ascii="Calibri" w:hAnsi="Calibri"/>
                <w:b/>
                <w:color w:val="C07010"/>
                <w:sz w:val="20"/>
              </w:rPr>
              <w:t xml:space="preserve">ACCIÓN: </w:t>
            </w:r>
            <w:r>
              <w:rPr>
                <w:rFonts w:ascii="Calibri" w:hAnsi="Calibri"/>
                <w:sz w:val="20"/>
              </w:rPr>
              <w:t>Baja a la función generar_backlog_semanal y resalta la primera línea: rng = np.random.default_rng(seed + semana * 1000).</w:t>
            </w:r>
          </w:p>
        </w:tc>
      </w:tr>
      <w:tr>
        <w:tc>
          <w:tcPr>
            <w:tcW w:type="dxa" w:w="8640"/>
            <w:shd w:val="clear" w:color="auto" w:fill="EAF1F8"/>
          </w:tcPr>
          <w:p>
            <w:pPr>
              <w:jc w:val="both"/>
            </w:pPr>
            <w:r>
              <w:rPr>
                <w:rFonts w:ascii="Times New Roman" w:hAnsi="Times New Roman"/>
                <w:i/>
                <w:sz w:val="22"/>
              </w:rPr>
              <w:t>"Esta es la función central. Lo primero que hace es inicializar el generador aleatorio con una semilla derivada del número de semana, lo cual es la clave de la reproducibilidad: dos llamadas con la misma semilla y la misma semana siempre devuelven exactamente el mismo backlog."</w:t>
            </w:r>
          </w:p>
        </w:tc>
      </w:tr>
    </w:tbl>
    <w:p/>
    <w:tbl>
      <w:tblPr>
        <w:tblW w:type="auto" w:w="0"/>
        <w:tblLook w:firstColumn="1" w:firstRow="1" w:lastColumn="0" w:lastRow="0" w:noHBand="0" w:noVBand="1" w:val="04A0"/>
      </w:tblPr>
      <w:tblGrid>
        <w:gridCol w:w="8640"/>
      </w:tblGrid>
      <w:tr>
        <w:tc>
          <w:tcPr>
            <w:tcW w:type="dxa" w:w="8640"/>
            <w:shd w:val="clear" w:color="auto" w:fill="FFF1CC"/>
          </w:tcPr>
          <w:p>
            <w:r>
              <w:rPr>
                <w:rFonts w:ascii="Calibri" w:hAnsi="Calibri"/>
                <w:b/>
                <w:color w:val="C07010"/>
                <w:sz w:val="20"/>
              </w:rPr>
              <w:t xml:space="preserve">ACCIÓN: </w:t>
            </w:r>
            <w:r>
              <w:rPr>
                <w:rFonts w:ascii="Calibri" w:hAnsi="Calibri"/>
                <w:sz w:val="20"/>
              </w:rPr>
              <w:t>Resalta el bloque que crea criticidad, severidades y atributos numéricos.</w:t>
            </w:r>
          </w:p>
        </w:tc>
      </w:tr>
      <w:tr>
        <w:tc>
          <w:tcPr>
            <w:tcW w:type="dxa" w:w="8640"/>
            <w:shd w:val="clear" w:color="auto" w:fill="EAF1F8"/>
          </w:tcPr>
          <w:p>
            <w:pPr>
              <w:jc w:val="both"/>
            </w:pPr>
            <w:r>
              <w:rPr>
                <w:rFonts w:ascii="Times New Roman" w:hAnsi="Times New Roman"/>
                <w:i/>
                <w:sz w:val="22"/>
              </w:rPr>
              <w:t>"Aquí genero los atributos de cada orden de trabajo: la criticidad nominal entre 1 y 5 con sesgo hacia valores medios, las severidades de seguridad, ambiente y producción en escala 0 a 1, el historial de mantenimientos preventivos vencidos, la edad del equipo, el uso acumulado y la duración estimada de la WO. Las distribuciones que uso —beta para severidades, Poisson para PM vencidos, lognormal para duración— están elegidas deliberadamente para reflejar el sesgo típico observado en datos reales."</w:t>
            </w:r>
          </w:p>
        </w:tc>
      </w:tr>
    </w:tbl>
    <w:p/>
    <w:tbl>
      <w:tblPr>
        <w:tblW w:type="auto" w:w="0"/>
        <w:tblLook w:firstColumn="1" w:firstRow="1" w:lastColumn="0" w:lastRow="0" w:noHBand="0" w:noVBand="1" w:val="04A0"/>
      </w:tblPr>
      <w:tblGrid>
        <w:gridCol w:w="8640"/>
      </w:tblGrid>
      <w:tr>
        <w:tc>
          <w:tcPr>
            <w:tcW w:type="dxa" w:w="8640"/>
            <w:shd w:val="clear" w:color="auto" w:fill="FFF1CC"/>
          </w:tcPr>
          <w:p>
            <w:r>
              <w:rPr>
                <w:rFonts w:ascii="Calibri" w:hAnsi="Calibri"/>
                <w:b/>
                <w:color w:val="C07010"/>
                <w:sz w:val="20"/>
              </w:rPr>
              <w:t xml:space="preserve">ACCIÓN: </w:t>
            </w:r>
            <w:r>
              <w:rPr>
                <w:rFonts w:ascii="Calibri" w:hAnsi="Calibri"/>
                <w:sz w:val="20"/>
              </w:rPr>
              <w:t>Resalta el bloque de la prioridad nominal (alineado vs. aleatoria).</w:t>
            </w:r>
          </w:p>
        </w:tc>
      </w:tr>
      <w:tr>
        <w:tc>
          <w:tcPr>
            <w:tcW w:type="dxa" w:w="8640"/>
            <w:shd w:val="clear" w:color="auto" w:fill="EAF1F8"/>
          </w:tcPr>
          <w:p>
            <w:pPr>
              <w:jc w:val="both"/>
            </w:pPr>
            <w:r>
              <w:rPr>
                <w:rFonts w:ascii="Times New Roman" w:hAnsi="Times New Roman"/>
                <w:i/>
                <w:sz w:val="22"/>
              </w:rPr>
              <w:t>"Esta parte modela algo que se observa mucho en los CMMS legacy: la prioridad nominal que asigna el planificador no siempre coincide con la criticidad RCM real. Aquí solo el 30 % de las órdenes tienen prioridad alineada con la criticidad; el resto se asigna casi al azar, lo cual es muy realista. Esto es importante porque el baseline del modelo —la regla tradicional— se basa precisamente en esta prioridad nominal, y por eso pierde frente a un enfoque que estima la probabilidad de falla de forma calibrada."</w:t>
            </w:r>
          </w:p>
        </w:tc>
      </w:tr>
    </w:tbl>
    <w:p/>
    <w:tbl>
      <w:tblPr>
        <w:tblW w:type="auto" w:w="0"/>
        <w:tblLook w:firstColumn="1" w:firstRow="1" w:lastColumn="0" w:lastRow="0" w:noHBand="0" w:noVBand="1" w:val="04A0"/>
      </w:tblPr>
      <w:tblGrid>
        <w:gridCol w:w="8640"/>
      </w:tblGrid>
      <w:tr>
        <w:tc>
          <w:tcPr>
            <w:tcW w:type="dxa" w:w="8640"/>
            <w:shd w:val="clear" w:color="auto" w:fill="FFF1CC"/>
          </w:tcPr>
          <w:p>
            <w:r>
              <w:rPr>
                <w:rFonts w:ascii="Calibri" w:hAnsi="Calibri"/>
                <w:b/>
                <w:color w:val="C07010"/>
                <w:sz w:val="20"/>
              </w:rPr>
              <w:t xml:space="preserve">ACCIÓN: </w:t>
            </w:r>
            <w:r>
              <w:rPr>
                <w:rFonts w:ascii="Calibri" w:hAnsi="Calibri"/>
                <w:sz w:val="20"/>
              </w:rPr>
              <w:t>Resalta el bloque de repuestos: repuesto_id, on_hand_arr y repuesto_disponible.</w:t>
            </w:r>
          </w:p>
        </w:tc>
      </w:tr>
      <w:tr>
        <w:tc>
          <w:tcPr>
            <w:tcW w:type="dxa" w:w="8640"/>
            <w:shd w:val="clear" w:color="auto" w:fill="EAF1F8"/>
          </w:tcPr>
          <w:p>
            <w:pPr>
              <w:jc w:val="both"/>
            </w:pPr>
            <w:r>
              <w:rPr>
                <w:rFonts w:ascii="Times New Roman" w:hAnsi="Times New Roman"/>
                <w:i/>
                <w:sz w:val="22"/>
              </w:rPr>
              <w:t>"Aquí modelo los repuestos críticos. Cada WO puede o no requerir un repuesto del catálogo. Si lo requiere, se chequea contra el on-hand simulado: el 70 % de los repuestos están disponibles, el 30 % no. Si el escenario fuerza un faltante, ese repuesto se pone explícitamente en cero. Esto alimenta directamente la restricción del optimizador que excluye órdenes sin repuesto disponible."</w:t>
            </w:r>
          </w:p>
        </w:tc>
      </w:tr>
    </w:tbl>
    <w:p/>
    <w:tbl>
      <w:tblPr>
        <w:tblW w:type="auto" w:w="0"/>
        <w:tblLook w:firstColumn="1" w:firstRow="1" w:lastColumn="0" w:lastRow="0" w:noHBand="0" w:noVBand="1" w:val="04A0"/>
      </w:tblPr>
      <w:tblGrid>
        <w:gridCol w:w="8640"/>
      </w:tblGrid>
      <w:tr>
        <w:tc>
          <w:tcPr>
            <w:tcW w:type="dxa" w:w="8640"/>
            <w:shd w:val="clear" w:color="auto" w:fill="FFF1CC"/>
          </w:tcPr>
          <w:p>
            <w:r>
              <w:rPr>
                <w:rFonts w:ascii="Calibri" w:hAnsi="Calibri"/>
                <w:b/>
                <w:color w:val="C07010"/>
                <w:sz w:val="20"/>
              </w:rPr>
              <w:t xml:space="preserve">ACCIÓN: </w:t>
            </w:r>
            <w:r>
              <w:rPr>
                <w:rFonts w:ascii="Calibri" w:hAnsi="Calibri"/>
                <w:sz w:val="20"/>
              </w:rPr>
              <w:t>Resalta el bloque del logit (logit = -3.0 + 0.55 * criticidad + ...).</w:t>
            </w:r>
          </w:p>
        </w:tc>
      </w:tr>
      <w:tr>
        <w:tc>
          <w:tcPr>
            <w:tcW w:type="dxa" w:w="8640"/>
            <w:shd w:val="clear" w:color="auto" w:fill="EAF1F8"/>
          </w:tcPr>
          <w:p>
            <w:pPr>
              <w:jc w:val="both"/>
            </w:pPr>
            <w:r>
              <w:rPr>
                <w:rFonts w:ascii="Times New Roman" w:hAnsi="Times New Roman"/>
                <w:i/>
                <w:sz w:val="22"/>
              </w:rPr>
              <w:t>"Esta es la parte más importante para defender la validez del experimento. La probabilidad real de que la WO falle en los próximos 7 días no es una constante: es una función no lineal de las features, con un término de ruido controlado. El logit combina criticidad, PM vencidos, uso acumulado, edad, severidad de seguridad, severidad de producción y el tipo de WO. La probabilidad real se obtiene aplicando la sigmoide al logit, y la variable objetivo falla_7d se muestrea por Bernoulli. Esto es lo que el modelo intentará aprender a partir de las features observables, sin acceso al ground truth."</w:t>
            </w:r>
          </w:p>
        </w:tc>
      </w:tr>
    </w:tbl>
    <w:p/>
    <w:tbl>
      <w:tblPr>
        <w:tblW w:type="auto" w:w="0"/>
        <w:tblLook w:firstColumn="1" w:firstRow="1" w:lastColumn="0" w:lastRow="0" w:noHBand="0" w:noVBand="1" w:val="04A0"/>
      </w:tblPr>
      <w:tblGrid>
        <w:gridCol w:w="8640"/>
      </w:tblGrid>
      <w:tr>
        <w:tc>
          <w:tcPr>
            <w:tcW w:type="dxa" w:w="8640"/>
            <w:shd w:val="clear" w:color="auto" w:fill="FFF1CC"/>
          </w:tcPr>
          <w:p>
            <w:r>
              <w:rPr>
                <w:rFonts w:ascii="Calibri" w:hAnsi="Calibri"/>
                <w:b/>
                <w:color w:val="C07010"/>
                <w:sz w:val="20"/>
              </w:rPr>
              <w:t xml:space="preserve">ACCIÓN: </w:t>
            </w:r>
            <w:r>
              <w:rPr>
                <w:rFonts w:ascii="Calibri" w:hAnsi="Calibri"/>
                <w:sz w:val="20"/>
              </w:rPr>
              <w:t>Resalta el return final: el DataFrame con prob_real_falla_7d y falla_7d.</w:t>
            </w:r>
          </w:p>
        </w:tc>
      </w:tr>
      <w:tr>
        <w:tc>
          <w:tcPr>
            <w:tcW w:type="dxa" w:w="8640"/>
            <w:shd w:val="clear" w:color="auto" w:fill="EAF1F8"/>
          </w:tcPr>
          <w:p>
            <w:pPr>
              <w:jc w:val="both"/>
            </w:pPr>
            <w:r>
              <w:rPr>
                <w:rFonts w:ascii="Times New Roman" w:hAnsi="Times New Roman"/>
                <w:i/>
                <w:sz w:val="22"/>
              </w:rPr>
              <w:t>"El DataFrame que se devuelve tiene 21 columnas. Quiero llamar la atención sobre dos: prob_real_falla_7d es el ground truth y nunca se usa como feature de entrenamiento, solo para evaluar la calidad de la calibración. Y falla_7d es la variable objetivo binaria que el modelo aprende."</w:t>
            </w:r>
          </w:p>
        </w:tc>
      </w:tr>
    </w:tbl>
    <w:p/>
    <w:p>
      <w:pPr>
        <w:pStyle w:val="Heading2"/>
      </w:pPr>
      <w:r>
        <w:rPr>
          <w:rFonts w:ascii="Times New Roman" w:hAnsi="Times New Roman"/>
          <w:color w:val="2E75B6"/>
        </w:rPr>
        <w:t>1.5 Ejecución en vivo</w:t>
      </w:r>
    </w:p>
    <w:tbl>
      <w:tblPr>
        <w:tblW w:type="auto" w:w="0"/>
        <w:tblLook w:firstColumn="1" w:firstRow="1" w:lastColumn="0" w:lastRow="0" w:noHBand="0" w:noVBand="1" w:val="04A0"/>
      </w:tblPr>
      <w:tblGrid>
        <w:gridCol w:w="8640"/>
      </w:tblGrid>
      <w:tr>
        <w:tc>
          <w:tcPr>
            <w:tcW w:type="dxa" w:w="8640"/>
            <w:shd w:val="clear" w:color="auto" w:fill="FFF1CC"/>
          </w:tcPr>
          <w:p>
            <w:r>
              <w:rPr>
                <w:rFonts w:ascii="Calibri" w:hAnsi="Calibri"/>
                <w:b/>
                <w:color w:val="C07010"/>
                <w:sz w:val="20"/>
              </w:rPr>
              <w:t xml:space="preserve">ACCIÓN: </w:t>
            </w:r>
            <w:r>
              <w:rPr>
                <w:rFonts w:ascii="Calibri" w:hAnsi="Calibri"/>
                <w:sz w:val="20"/>
              </w:rPr>
              <w:t>Cambia a la terminal y ejecuta el comando.</w:t>
            </w:r>
          </w:p>
        </w:tc>
      </w:tr>
      <w:tr>
        <w:tc>
          <w:tcPr>
            <w:tcW w:type="dxa" w:w="8640"/>
            <w:shd w:val="clear" w:color="auto" w:fill="EAF1F8"/>
          </w:tcPr>
          <w:p>
            <w:pPr>
              <w:jc w:val="both"/>
            </w:pPr>
            <w:r>
              <w:rPr>
                <w:rFonts w:ascii="Times New Roman" w:hAnsi="Times New Roman"/>
                <w:i/>
                <w:sz w:val="22"/>
              </w:rPr>
              <w:t>"Vamos a ver el generador en acción. Ejecuto este comando que crea un backlog reproducible con semilla 42 y muestra las primeras ocho filas y la tasa de falla real del backlog."</w:t>
            </w:r>
          </w:p>
        </w:tc>
      </w:tr>
    </w:tbl>
    <w:p/>
    <w:p>
      <w:r>
        <w:rPr>
          <w:rFonts w:ascii="Times New Roman" w:hAnsi="Times New Roman"/>
          <w:i/>
          <w:color w:val="C07010"/>
          <w:sz w:val="20"/>
        </w:rPr>
        <w:t xml:space="preserve">  Genera un backlog reproducible y muestra las primeras filas</w:t>
      </w:r>
    </w:p>
    <w:tbl>
      <w:tblPr>
        <w:tblW w:type="auto" w:w="0"/>
        <w:tblLook w:firstColumn="1" w:firstRow="1" w:lastColumn="0" w:lastRow="0" w:noHBand="0" w:noVBand="1" w:val="04A0"/>
      </w:tblPr>
      <w:tblGrid>
        <w:gridCol w:w="8640"/>
      </w:tblGrid>
      <w:tr>
        <w:tc>
          <w:tcPr>
            <w:tcW w:type="dxa" w:w="8640"/>
            <w:shd w:val="clear" w:color="auto" w:fill="1E2761"/>
          </w:tcPr>
          <w:p>
            <w:r>
              <w:rPr>
                <w:rFonts w:ascii="Consolas" w:hAnsi="Consolas"/>
                <w:color w:val="FFFFFF"/>
                <w:sz w:val="20"/>
              </w:rPr>
              <w:t>python -c "</w:t>
            </w:r>
          </w:p>
          <w:p>
            <w:r>
              <w:rPr>
                <w:rFonts w:ascii="Consolas" w:hAnsi="Consolas"/>
                <w:color w:val="FFFFFF"/>
                <w:sz w:val="20"/>
              </w:rPr>
              <w:t>from src.data_generator import generar_backlog_semanal, ConfigEscenario</w:t>
            </w:r>
          </w:p>
          <w:p>
            <w:r>
              <w:rPr>
                <w:rFonts w:ascii="Consolas" w:hAnsi="Consolas"/>
                <w:color w:val="FFFFFF"/>
                <w:sz w:val="20"/>
              </w:rPr>
              <w:t>df = generar_backlog_semanal(semana=1, config=ConfigEscenario(), seed=42)</w:t>
            </w:r>
          </w:p>
          <w:p>
            <w:r>
              <w:rPr>
                <w:rFonts w:ascii="Consolas" w:hAnsi="Consolas"/>
                <w:color w:val="FFFFFF"/>
                <w:sz w:val="20"/>
              </w:rPr>
              <w:t>print('Backlog generado:', len(df), 'WO')</w:t>
            </w:r>
          </w:p>
          <w:p>
            <w:r>
              <w:rPr>
                <w:rFonts w:ascii="Consolas" w:hAnsi="Consolas"/>
                <w:color w:val="FFFFFF"/>
                <w:sz w:val="20"/>
              </w:rPr>
              <w:t>print(df[['wo_id','criticidad','sev_seguridad','pm_vencidos','duracion_h','falla_7d']].head(8))</w:t>
            </w:r>
          </w:p>
          <w:p>
            <w:r>
              <w:rPr>
                <w:rFonts w:ascii="Consolas" w:hAnsi="Consolas"/>
                <w:color w:val="FFFFFF"/>
                <w:sz w:val="20"/>
              </w:rPr>
              <w:t>print('Tasa de falla:', round(df['falla_7d'].mean(), 3))</w:t>
            </w:r>
          </w:p>
          <w:p>
            <w:r>
              <w:rPr>
                <w:rFonts w:ascii="Consolas" w:hAnsi="Consolas"/>
                <w:color w:val="FFFFFF"/>
                <w:sz w:val="20"/>
              </w:rPr>
              <w:t xml:space="preserve">" </w:t>
            </w:r>
          </w:p>
        </w:tc>
      </w:tr>
    </w:tbl>
    <w:tbl>
      <w:tblPr>
        <w:tblW w:type="auto" w:w="0"/>
        <w:tblLook w:firstColumn="1" w:firstRow="1" w:lastColumn="0" w:lastRow="0" w:noHBand="0" w:noVBand="1" w:val="04A0"/>
      </w:tblPr>
      <w:tblGrid>
        <w:gridCol w:w="8640"/>
      </w:tblGrid>
      <w:tr>
        <w:tc>
          <w:tcPr>
            <w:tcW w:type="dxa" w:w="8640"/>
            <w:shd w:val="clear" w:color="auto" w:fill="FFF1CC"/>
          </w:tcPr>
          <w:p>
            <w:r>
              <w:rPr>
                <w:rFonts w:ascii="Calibri" w:hAnsi="Calibri"/>
                <w:b/>
                <w:color w:val="C07010"/>
                <w:sz w:val="20"/>
              </w:rPr>
              <w:t xml:space="preserve">ACCIÓN: </w:t>
            </w:r>
            <w:r>
              <w:rPr>
                <w:rFonts w:ascii="Calibri" w:hAnsi="Calibri"/>
                <w:sz w:val="20"/>
              </w:rPr>
              <w:t>Cuando se imprima el resultado, señala la columna falla_7d.</w:t>
            </w:r>
          </w:p>
        </w:tc>
      </w:tr>
      <w:tr>
        <w:tc>
          <w:tcPr>
            <w:tcW w:type="dxa" w:w="8640"/>
            <w:shd w:val="clear" w:color="auto" w:fill="EAF1F8"/>
          </w:tcPr>
          <w:p>
            <w:pPr>
              <w:jc w:val="both"/>
            </w:pPr>
            <w:r>
              <w:rPr>
                <w:rFonts w:ascii="Times New Roman" w:hAnsi="Times New Roman"/>
                <w:i/>
                <w:sz w:val="22"/>
              </w:rPr>
              <w:t>"Como ven, el script genera un backlog de aproximadamente 80 órdenes en pocos milisegundos. La columna falla_7d marca con un 1 las WO que tienen alta probabilidad de fallar la próxima semana —esa es la variable objetivo del modelo— y la tasa de falla del backlog ronda el 40 %, lo cual da una distribución razonablemente balanceada para entrenar."</w:t>
            </w:r>
          </w:p>
        </w:tc>
      </w:tr>
    </w:tbl>
    <w:p/>
    <w:p>
      <w:pPr>
        <w:jc w:val="both"/>
      </w:pPr>
      <w:r>
        <w:rPr>
          <w:rFonts w:ascii="Times New Roman" w:hAnsi="Times New Roman"/>
          <w:b/>
          <w:color w:val="2E75B6"/>
          <w:sz w:val="22"/>
        </w:rPr>
        <w:t>→ Pasamos al modelo predictivo.</w:t>
      </w:r>
    </w:p>
    <w:p>
      <w:r>
        <w:br w:type="page"/>
      </w:r>
    </w:p>
    <w:p>
      <w:pPr>
        <w:pStyle w:val="Heading1"/>
      </w:pPr>
      <w:r>
        <w:rPr>
          <w:rFonts w:ascii="Times New Roman" w:hAnsi="Times New Roman"/>
          <w:color w:val="1F3A5F"/>
        </w:rPr>
        <w:t>Paso 2 — Modelo predictivo calibrado (OE2)</w:t>
      </w:r>
    </w:p>
    <w:p>
      <w:pPr>
        <w:pStyle w:val="Heading2"/>
      </w:pPr>
      <w:r>
        <w:rPr>
          <w:rFonts w:ascii="Times New Roman" w:hAnsi="Times New Roman"/>
          <w:color w:val="2E75B6"/>
        </w:rPr>
        <w:t>2.1 Apertura del módulo</w:t>
      </w:r>
    </w:p>
    <w:tbl>
      <w:tblPr>
        <w:tblW w:type="auto" w:w="0"/>
        <w:tblLook w:firstColumn="1" w:firstRow="1" w:lastColumn="0" w:lastRow="0" w:noHBand="0" w:noVBand="1" w:val="04A0"/>
      </w:tblPr>
      <w:tblGrid>
        <w:gridCol w:w="8640"/>
      </w:tblGrid>
      <w:tr>
        <w:tc>
          <w:tcPr>
            <w:tcW w:type="dxa" w:w="8640"/>
            <w:shd w:val="clear" w:color="auto" w:fill="FFF1CC"/>
          </w:tcPr>
          <w:p>
            <w:r>
              <w:rPr>
                <w:rFonts w:ascii="Calibri" w:hAnsi="Calibri"/>
                <w:b/>
                <w:color w:val="C07010"/>
                <w:sz w:val="20"/>
              </w:rPr>
              <w:t xml:space="preserve">ACCIÓN: </w:t>
            </w:r>
            <w:r>
              <w:rPr>
                <w:rFonts w:ascii="Calibri" w:hAnsi="Calibri"/>
                <w:sz w:val="20"/>
              </w:rPr>
              <w:t>Abre src/model.py. Ubica el cursor en el docstring superior.</w:t>
            </w:r>
          </w:p>
        </w:tc>
      </w:tr>
      <w:tr>
        <w:tc>
          <w:tcPr>
            <w:tcW w:type="dxa" w:w="8640"/>
            <w:shd w:val="clear" w:color="auto" w:fill="EAF1F8"/>
          </w:tcPr>
          <w:p>
            <w:pPr>
              <w:jc w:val="both"/>
            </w:pPr>
            <w:r>
              <w:rPr>
                <w:rFonts w:ascii="Times New Roman" w:hAnsi="Times New Roman"/>
                <w:i/>
                <w:sz w:val="22"/>
              </w:rPr>
              <w:t>"Este es el módulo model punto py. Implementa el segundo objetivo específico: entrenar y calibrar un modelo de clasificación que estime la probabilidad de falla en siete días para cada WO del backlog. La implementación es enteramente en numpy puro: no depende de scikit-learn. Hago esto por dos razones: portabilidad —se ejecuta en cualquier entorno con Python y numpy— y trazabilidad académica —cada operación está implementada paso a paso, lo cual permite defender el modelo desde cero ante el jurado."</w:t>
            </w:r>
          </w:p>
        </w:tc>
      </w:tr>
    </w:tbl>
    <w:p/>
    <w:p>
      <w:pPr>
        <w:pStyle w:val="Heading2"/>
      </w:pPr>
      <w:r>
        <w:rPr>
          <w:rFonts w:ascii="Times New Roman" w:hAnsi="Times New Roman"/>
          <w:color w:val="2E75B6"/>
        </w:rPr>
        <w:t>2.2 La clase Preprocesador</w:t>
      </w:r>
    </w:p>
    <w:tbl>
      <w:tblPr>
        <w:tblW w:type="auto" w:w="0"/>
        <w:tblLook w:firstColumn="1" w:firstRow="1" w:lastColumn="0" w:lastRow="0" w:noHBand="0" w:noVBand="1" w:val="04A0"/>
      </w:tblPr>
      <w:tblGrid>
        <w:gridCol w:w="8640"/>
      </w:tblGrid>
      <w:tr>
        <w:tc>
          <w:tcPr>
            <w:tcW w:type="dxa" w:w="8640"/>
            <w:shd w:val="clear" w:color="auto" w:fill="FFF1CC"/>
          </w:tcPr>
          <w:p>
            <w:r>
              <w:rPr>
                <w:rFonts w:ascii="Calibri" w:hAnsi="Calibri"/>
                <w:b/>
                <w:color w:val="C07010"/>
                <w:sz w:val="20"/>
              </w:rPr>
              <w:t xml:space="preserve">ACCIÓN: </w:t>
            </w:r>
            <w:r>
              <w:rPr>
                <w:rFonts w:ascii="Calibri" w:hAnsi="Calibri"/>
                <w:sz w:val="20"/>
              </w:rPr>
              <w:t>Resalta la definición de la clase Preprocesador.</w:t>
            </w:r>
          </w:p>
        </w:tc>
      </w:tr>
      <w:tr>
        <w:tc>
          <w:tcPr>
            <w:tcW w:type="dxa" w:w="8640"/>
            <w:shd w:val="clear" w:color="auto" w:fill="EAF1F8"/>
          </w:tcPr>
          <w:p>
            <w:pPr>
              <w:jc w:val="both"/>
            </w:pPr>
            <w:r>
              <w:rPr>
                <w:rFonts w:ascii="Times New Roman" w:hAnsi="Times New Roman"/>
                <w:i/>
                <w:sz w:val="22"/>
              </w:rPr>
              <w:t>"La primera pieza del pipeline es el Preprocesador. Hace dos cosas: convierte las variables categóricas —tipo_wo y clase_equipo— en columnas one-hot, y estandariza las variables numéricas a media cero y desviación uno. Este paso es estándar en cualquier modelo lineal: si no se estandariza, las variables con escalas más grandes dominan los coeficientes y la regresión no converge bien."</w:t>
            </w:r>
          </w:p>
        </w:tc>
      </w:tr>
    </w:tbl>
    <w:p/>
    <w:tbl>
      <w:tblPr>
        <w:tblW w:type="auto" w:w="0"/>
        <w:tblLook w:firstColumn="1" w:firstRow="1" w:lastColumn="0" w:lastRow="0" w:noHBand="0" w:noVBand="1" w:val="04A0"/>
      </w:tblPr>
      <w:tblGrid>
        <w:gridCol w:w="8640"/>
      </w:tblGrid>
      <w:tr>
        <w:tc>
          <w:tcPr>
            <w:tcW w:type="dxa" w:w="8640"/>
            <w:shd w:val="clear" w:color="auto" w:fill="FFF1CC"/>
          </w:tcPr>
          <w:p>
            <w:r>
              <w:rPr>
                <w:rFonts w:ascii="Calibri" w:hAnsi="Calibri"/>
                <w:b/>
                <w:color w:val="C07010"/>
                <w:sz w:val="20"/>
              </w:rPr>
              <w:t xml:space="preserve">ACCIÓN: </w:t>
            </w:r>
            <w:r>
              <w:rPr>
                <w:rFonts w:ascii="Calibri" w:hAnsi="Calibri"/>
                <w:sz w:val="20"/>
              </w:rPr>
              <w:t>Resalta el método fit(X). Apunta al cálculo de media y desviación.</w:t>
            </w:r>
          </w:p>
        </w:tc>
      </w:tr>
      <w:tr>
        <w:tc>
          <w:tcPr>
            <w:tcW w:type="dxa" w:w="8640"/>
            <w:shd w:val="clear" w:color="auto" w:fill="EAF1F8"/>
          </w:tcPr>
          <w:p>
            <w:pPr>
              <w:jc w:val="both"/>
            </w:pPr>
            <w:r>
              <w:rPr>
                <w:rFonts w:ascii="Times New Roman" w:hAnsi="Times New Roman"/>
                <w:i/>
                <w:sz w:val="22"/>
              </w:rPr>
              <w:t>"El método fit aprende los parámetros de la transformación: las categorías únicas y la media y desviación estándar de cada columna numérica. Esos parámetros quedan guardados en el objeto y se aplican luego con transform sobre datos nuevos —esto evita fugas de información entre el conjunto de entrenamiento y el de prueba."</w:t>
            </w:r>
          </w:p>
        </w:tc>
      </w:tr>
    </w:tbl>
    <w:p/>
    <w:p>
      <w:pPr>
        <w:pStyle w:val="Heading2"/>
      </w:pPr>
      <w:r>
        <w:rPr>
          <w:rFonts w:ascii="Times New Roman" w:hAnsi="Times New Roman"/>
          <w:color w:val="2E75B6"/>
        </w:rPr>
        <w:t>2.3 La clase RegresionLogistica</w:t>
      </w:r>
    </w:p>
    <w:tbl>
      <w:tblPr>
        <w:tblW w:type="auto" w:w="0"/>
        <w:tblLook w:firstColumn="1" w:firstRow="1" w:lastColumn="0" w:lastRow="0" w:noHBand="0" w:noVBand="1" w:val="04A0"/>
      </w:tblPr>
      <w:tblGrid>
        <w:gridCol w:w="8640"/>
      </w:tblGrid>
      <w:tr>
        <w:tc>
          <w:tcPr>
            <w:tcW w:type="dxa" w:w="8640"/>
            <w:shd w:val="clear" w:color="auto" w:fill="FFF1CC"/>
          </w:tcPr>
          <w:p>
            <w:r>
              <w:rPr>
                <w:rFonts w:ascii="Calibri" w:hAnsi="Calibri"/>
                <w:b/>
                <w:color w:val="C07010"/>
                <w:sz w:val="20"/>
              </w:rPr>
              <w:t xml:space="preserve">ACCIÓN: </w:t>
            </w:r>
            <w:r>
              <w:rPr>
                <w:rFonts w:ascii="Calibri" w:hAnsi="Calibri"/>
                <w:sz w:val="20"/>
              </w:rPr>
              <w:t>Resalta la definición de RegresionLogistica y los argumentos del constructor.</w:t>
            </w:r>
          </w:p>
        </w:tc>
      </w:tr>
      <w:tr>
        <w:tc>
          <w:tcPr>
            <w:tcW w:type="dxa" w:w="8640"/>
            <w:shd w:val="clear" w:color="auto" w:fill="EAF1F8"/>
          </w:tcPr>
          <w:p>
            <w:pPr>
              <w:jc w:val="both"/>
            </w:pPr>
            <w:r>
              <w:rPr>
                <w:rFonts w:ascii="Times New Roman" w:hAnsi="Times New Roman"/>
                <w:i/>
                <w:sz w:val="22"/>
              </w:rPr>
              <w:t>"Ahora viene el clasificador. Es una regresión logística clásica con cuatro hiperparámetros: la tasa de aprendizaje (lr), el número de iteraciones del descenso de gradiente, la regularización L2 que evita sobreajuste, y un flag balanceada que compensa el desbalance de clases pesando más los positivos."</w:t>
            </w:r>
          </w:p>
        </w:tc>
      </w:tr>
    </w:tbl>
    <w:p/>
    <w:tbl>
      <w:tblPr>
        <w:tblW w:type="auto" w:w="0"/>
        <w:tblLook w:firstColumn="1" w:firstRow="1" w:lastColumn="0" w:lastRow="0" w:noHBand="0" w:noVBand="1" w:val="04A0"/>
      </w:tblPr>
      <w:tblGrid>
        <w:gridCol w:w="8640"/>
      </w:tblGrid>
      <w:tr>
        <w:tc>
          <w:tcPr>
            <w:tcW w:type="dxa" w:w="8640"/>
            <w:shd w:val="clear" w:color="auto" w:fill="FFF1CC"/>
          </w:tcPr>
          <w:p>
            <w:r>
              <w:rPr>
                <w:rFonts w:ascii="Calibri" w:hAnsi="Calibri"/>
                <w:b/>
                <w:color w:val="C07010"/>
                <w:sz w:val="20"/>
              </w:rPr>
              <w:t xml:space="preserve">ACCIÓN: </w:t>
            </w:r>
            <w:r>
              <w:rPr>
                <w:rFonts w:ascii="Calibri" w:hAnsi="Calibri"/>
                <w:sz w:val="20"/>
              </w:rPr>
              <w:t>Resalta el método _sigmoid. Apunta a las dos ramas pos/neg.</w:t>
            </w:r>
          </w:p>
        </w:tc>
      </w:tr>
      <w:tr>
        <w:tc>
          <w:tcPr>
            <w:tcW w:type="dxa" w:w="8640"/>
            <w:shd w:val="clear" w:color="auto" w:fill="EAF1F8"/>
          </w:tcPr>
          <w:p>
            <w:pPr>
              <w:jc w:val="both"/>
            </w:pPr>
            <w:r>
              <w:rPr>
                <w:rFonts w:ascii="Times New Roman" w:hAnsi="Times New Roman"/>
                <w:i/>
                <w:sz w:val="22"/>
              </w:rPr>
              <w:t>"Esta función parece técnica pero es importante: implementa la sigmoide de forma numéricamente estable, evitando overflow cuando z es muy negativo. Es un detalle de ingeniería que aprendí investigando implementaciones de scikit-learn."</w:t>
            </w:r>
          </w:p>
        </w:tc>
      </w:tr>
    </w:tbl>
    <w:p/>
    <w:tbl>
      <w:tblPr>
        <w:tblW w:type="auto" w:w="0"/>
        <w:tblLook w:firstColumn="1" w:firstRow="1" w:lastColumn="0" w:lastRow="0" w:noHBand="0" w:noVBand="1" w:val="04A0"/>
      </w:tblPr>
      <w:tblGrid>
        <w:gridCol w:w="8640"/>
      </w:tblGrid>
      <w:tr>
        <w:tc>
          <w:tcPr>
            <w:tcW w:type="dxa" w:w="8640"/>
            <w:shd w:val="clear" w:color="auto" w:fill="FFF1CC"/>
          </w:tcPr>
          <w:p>
            <w:r>
              <w:rPr>
                <w:rFonts w:ascii="Calibri" w:hAnsi="Calibri"/>
                <w:b/>
                <w:color w:val="C07010"/>
                <w:sz w:val="20"/>
              </w:rPr>
              <w:t xml:space="preserve">ACCIÓN: </w:t>
            </w:r>
            <w:r>
              <w:rPr>
                <w:rFonts w:ascii="Calibri" w:hAnsi="Calibri"/>
                <w:sz w:val="20"/>
              </w:rPr>
              <w:t>Resalta el método fit y el bucle de entrenamiento.</w:t>
            </w:r>
          </w:p>
        </w:tc>
      </w:tr>
      <w:tr>
        <w:tc>
          <w:tcPr>
            <w:tcW w:type="dxa" w:w="8640"/>
            <w:shd w:val="clear" w:color="auto" w:fill="EAF1F8"/>
          </w:tcPr>
          <w:p>
            <w:pPr>
              <w:jc w:val="both"/>
            </w:pPr>
            <w:r>
              <w:rPr>
                <w:rFonts w:ascii="Times New Roman" w:hAnsi="Times New Roman"/>
                <w:i/>
                <w:sz w:val="22"/>
              </w:rPr>
              <w:t>"El método fit ejecuta descenso de gradiente con regularización L2. En cada iteración calcula la predicción, el error pesado por las muestras, el gradiente respecto a los pesos y al bias, y actualiza los parámetros. Después de las 800 iteraciones por defecto el modelo está entrenado, los pesos quedan en self.w_ y el bias en self.b_."</w:t>
            </w:r>
          </w:p>
        </w:tc>
      </w:tr>
    </w:tbl>
    <w:p/>
    <w:p>
      <w:pPr>
        <w:pStyle w:val="Heading2"/>
      </w:pPr>
      <w:r>
        <w:rPr>
          <w:rFonts w:ascii="Times New Roman" w:hAnsi="Times New Roman"/>
          <w:color w:val="2E75B6"/>
        </w:rPr>
        <w:t>2.4 La clase CalibradorIsotonico</w:t>
      </w:r>
    </w:p>
    <w:tbl>
      <w:tblPr>
        <w:tblW w:type="auto" w:w="0"/>
        <w:tblLook w:firstColumn="1" w:firstRow="1" w:lastColumn="0" w:lastRow="0" w:noHBand="0" w:noVBand="1" w:val="04A0"/>
      </w:tblPr>
      <w:tblGrid>
        <w:gridCol w:w="8640"/>
      </w:tblGrid>
      <w:tr>
        <w:tc>
          <w:tcPr>
            <w:tcW w:type="dxa" w:w="8640"/>
            <w:shd w:val="clear" w:color="auto" w:fill="FFF1CC"/>
          </w:tcPr>
          <w:p>
            <w:r>
              <w:rPr>
                <w:rFonts w:ascii="Calibri" w:hAnsi="Calibri"/>
                <w:b/>
                <w:color w:val="C07010"/>
                <w:sz w:val="20"/>
              </w:rPr>
              <w:t xml:space="preserve">ACCIÓN: </w:t>
            </w:r>
            <w:r>
              <w:rPr>
                <w:rFonts w:ascii="Calibri" w:hAnsi="Calibri"/>
                <w:sz w:val="20"/>
              </w:rPr>
              <w:t>Resalta la definición de CalibradorIsotonico.</w:t>
            </w:r>
          </w:p>
        </w:tc>
      </w:tr>
      <w:tr>
        <w:tc>
          <w:tcPr>
            <w:tcW w:type="dxa" w:w="8640"/>
            <w:shd w:val="clear" w:color="auto" w:fill="EAF1F8"/>
          </w:tcPr>
          <w:p>
            <w:pPr>
              <w:jc w:val="both"/>
            </w:pPr>
            <w:r>
              <w:rPr>
                <w:rFonts w:ascii="Times New Roman" w:hAnsi="Times New Roman"/>
                <w:i/>
                <w:sz w:val="22"/>
              </w:rPr>
              <w:t>"Esta es probablemente la pieza más interesante del módulo. La regresión logística produce probabilidades, pero no necesariamente bien calibradas: por ejemplo, cuando predice 0,8, la frecuencia real no siempre es 80 %. El CalibradorIsotonico corrige ese sesgo aplicando una transformación monótona aprendida con el algoritmo Pool Adjacent Violators —PAV—, que es el método recomendado por Kull, Silva Filho y Flach en 2017 para calibración robusta."</w:t>
            </w:r>
          </w:p>
        </w:tc>
      </w:tr>
    </w:tbl>
    <w:p/>
    <w:tbl>
      <w:tblPr>
        <w:tblW w:type="auto" w:w="0"/>
        <w:tblLook w:firstColumn="1" w:firstRow="1" w:lastColumn="0" w:lastRow="0" w:noHBand="0" w:noVBand="1" w:val="04A0"/>
      </w:tblPr>
      <w:tblGrid>
        <w:gridCol w:w="8640"/>
      </w:tblGrid>
      <w:tr>
        <w:tc>
          <w:tcPr>
            <w:tcW w:type="dxa" w:w="8640"/>
            <w:shd w:val="clear" w:color="auto" w:fill="FFF1CC"/>
          </w:tcPr>
          <w:p>
            <w:r>
              <w:rPr>
                <w:rFonts w:ascii="Calibri" w:hAnsi="Calibri"/>
                <w:b/>
                <w:color w:val="C07010"/>
                <w:sz w:val="20"/>
              </w:rPr>
              <w:t xml:space="preserve">ACCIÓN: </w:t>
            </w:r>
            <w:r>
              <w:rPr>
                <w:rFonts w:ascii="Calibri" w:hAnsi="Calibri"/>
                <w:sz w:val="20"/>
              </w:rPr>
              <w:t>Resalta el método fit y el bucle while.</w:t>
            </w:r>
          </w:p>
        </w:tc>
      </w:tr>
      <w:tr>
        <w:tc>
          <w:tcPr>
            <w:tcW w:type="dxa" w:w="8640"/>
            <w:shd w:val="clear" w:color="auto" w:fill="EAF1F8"/>
          </w:tcPr>
          <w:p>
            <w:pPr>
              <w:jc w:val="both"/>
            </w:pPr>
            <w:r>
              <w:rPr>
                <w:rFonts w:ascii="Times New Roman" w:hAnsi="Times New Roman"/>
                <w:i/>
                <w:sz w:val="22"/>
              </w:rPr>
              <w:t>"El bucle implementa PAV: ordena los scores, recorre los pares y donde hay una violación de monotonía —es decir, un valor que es mayor que el siguiente cuando debería ser menor o igual— fusiona ambos puntos en uno solo, promediando con sus pesos. Repite hasta que toda la secuencia es no decreciente. El resultado es una función escalón monótona que mapea scores en probabilidades calibradas."</w:t>
            </w:r>
          </w:p>
        </w:tc>
      </w:tr>
    </w:tbl>
    <w:p/>
    <w:p>
      <w:pPr>
        <w:pStyle w:val="Heading2"/>
      </w:pPr>
      <w:r>
        <w:rPr>
          <w:rFonts w:ascii="Times New Roman" w:hAnsi="Times New Roman"/>
          <w:color w:val="2E75B6"/>
        </w:rPr>
        <w:t>2.5 Métricas — auc_roc, pr_auc, brier</w:t>
      </w:r>
    </w:p>
    <w:tbl>
      <w:tblPr>
        <w:tblW w:type="auto" w:w="0"/>
        <w:tblLook w:firstColumn="1" w:firstRow="1" w:lastColumn="0" w:lastRow="0" w:noHBand="0" w:noVBand="1" w:val="04A0"/>
      </w:tblPr>
      <w:tblGrid>
        <w:gridCol w:w="8640"/>
      </w:tblGrid>
      <w:tr>
        <w:tc>
          <w:tcPr>
            <w:tcW w:type="dxa" w:w="8640"/>
            <w:shd w:val="clear" w:color="auto" w:fill="FFF1CC"/>
          </w:tcPr>
          <w:p>
            <w:r>
              <w:rPr>
                <w:rFonts w:ascii="Calibri" w:hAnsi="Calibri"/>
                <w:b/>
                <w:color w:val="C07010"/>
                <w:sz w:val="20"/>
              </w:rPr>
              <w:t xml:space="preserve">ACCIÓN: </w:t>
            </w:r>
            <w:r>
              <w:rPr>
                <w:rFonts w:ascii="Calibri" w:hAnsi="Calibri"/>
                <w:sz w:val="20"/>
              </w:rPr>
              <w:t>Salta a las funciones auc_roc, pr_auc y brier.</w:t>
            </w:r>
          </w:p>
        </w:tc>
      </w:tr>
      <w:tr>
        <w:tc>
          <w:tcPr>
            <w:tcW w:type="dxa" w:w="8640"/>
            <w:shd w:val="clear" w:color="auto" w:fill="EAF1F8"/>
          </w:tcPr>
          <w:p>
            <w:pPr>
              <w:jc w:val="both"/>
            </w:pPr>
            <w:r>
              <w:rPr>
                <w:rFonts w:ascii="Times New Roman" w:hAnsi="Times New Roman"/>
                <w:i/>
                <w:sz w:val="22"/>
              </w:rPr>
              <w:t>"Las tres métricas que se usan para evaluar el modelo están implementadas también en numpy. AUC se calcula con el estadístico de Mann-Whitney y manejo de empates con rangos promedio. PR-AUC se obtiene integrando la curva precision-recall por trapecios. El Brier Score es simplemente el error cuadrático medio entre la probabilidad predicha y la etiqueta real —es la métrica de calibración por excelencia."</w:t>
            </w:r>
          </w:p>
        </w:tc>
      </w:tr>
    </w:tbl>
    <w:p/>
    <w:p>
      <w:pPr>
        <w:pStyle w:val="Heading2"/>
      </w:pPr>
      <w:r>
        <w:rPr>
          <w:rFonts w:ascii="Times New Roman" w:hAnsi="Times New Roman"/>
          <w:color w:val="2E75B6"/>
        </w:rPr>
        <w:t>2.6 La clase ModeloPriorizacion</w:t>
      </w:r>
    </w:p>
    <w:tbl>
      <w:tblPr>
        <w:tblW w:type="auto" w:w="0"/>
        <w:tblLook w:firstColumn="1" w:firstRow="1" w:lastColumn="0" w:lastRow="0" w:noHBand="0" w:noVBand="1" w:val="04A0"/>
      </w:tblPr>
      <w:tblGrid>
        <w:gridCol w:w="8640"/>
      </w:tblGrid>
      <w:tr>
        <w:tc>
          <w:tcPr>
            <w:tcW w:type="dxa" w:w="8640"/>
            <w:shd w:val="clear" w:color="auto" w:fill="FFF1CC"/>
          </w:tcPr>
          <w:p>
            <w:r>
              <w:rPr>
                <w:rFonts w:ascii="Calibri" w:hAnsi="Calibri"/>
                <w:b/>
                <w:color w:val="C07010"/>
                <w:sz w:val="20"/>
              </w:rPr>
              <w:t xml:space="preserve">ACCIÓN: </w:t>
            </w:r>
            <w:r>
              <w:rPr>
                <w:rFonts w:ascii="Calibri" w:hAnsi="Calibri"/>
                <w:sz w:val="20"/>
              </w:rPr>
              <w:t>Baja hasta la clase ModeloPriorizacion. Resalta el método fit.</w:t>
            </w:r>
          </w:p>
        </w:tc>
      </w:tr>
      <w:tr>
        <w:tc>
          <w:tcPr>
            <w:tcW w:type="dxa" w:w="8640"/>
            <w:shd w:val="clear" w:color="auto" w:fill="EAF1F8"/>
          </w:tcPr>
          <w:p>
            <w:pPr>
              <w:jc w:val="both"/>
            </w:pPr>
            <w:r>
              <w:rPr>
                <w:rFonts w:ascii="Times New Roman" w:hAnsi="Times New Roman"/>
                <w:i/>
                <w:sz w:val="22"/>
              </w:rPr>
              <w:t>"Esta clase orquesta todo: combina Preprocesador, RegresionLogistica y CalibradorIsotonico en un solo pipeline. El método fit hace un split estratificado interno —70 % para entrenar y 30 % para calibrar—, entrena el clasificador en el primer fold y calibra sobre el segundo. Esto es buena práctica porque calibrar sobre los mismos datos de entrenamiento sobreestima la calidad de la calibración."</w:t>
            </w:r>
          </w:p>
        </w:tc>
      </w:tr>
    </w:tbl>
    <w:p/>
    <w:p>
      <w:pPr>
        <w:pStyle w:val="Heading2"/>
      </w:pPr>
      <w:r>
        <w:rPr>
          <w:rFonts w:ascii="Times New Roman" w:hAnsi="Times New Roman"/>
          <w:color w:val="2E75B6"/>
        </w:rPr>
        <w:t>2.7 Ejecución en vivo</w:t>
      </w:r>
    </w:p>
    <w:tbl>
      <w:tblPr>
        <w:tblW w:type="auto" w:w="0"/>
        <w:tblLook w:firstColumn="1" w:firstRow="1" w:lastColumn="0" w:lastRow="0" w:noHBand="0" w:noVBand="1" w:val="04A0"/>
      </w:tblPr>
      <w:tblGrid>
        <w:gridCol w:w="8640"/>
      </w:tblGrid>
      <w:tr>
        <w:tc>
          <w:tcPr>
            <w:tcW w:type="dxa" w:w="8640"/>
            <w:shd w:val="clear" w:color="auto" w:fill="FFF1CC"/>
          </w:tcPr>
          <w:p>
            <w:r>
              <w:rPr>
                <w:rFonts w:ascii="Calibri" w:hAnsi="Calibri"/>
                <w:b/>
                <w:color w:val="C07010"/>
                <w:sz w:val="20"/>
              </w:rPr>
              <w:t xml:space="preserve">ACCIÓN: </w:t>
            </w:r>
            <w:r>
              <w:rPr>
                <w:rFonts w:ascii="Calibri" w:hAnsi="Calibri"/>
                <w:sz w:val="20"/>
              </w:rPr>
              <w:t>Cambia a la terminal y ejecuta el comando.</w:t>
            </w:r>
          </w:p>
        </w:tc>
      </w:tr>
      <w:tr>
        <w:tc>
          <w:tcPr>
            <w:tcW w:type="dxa" w:w="8640"/>
            <w:shd w:val="clear" w:color="auto" w:fill="EAF1F8"/>
          </w:tcPr>
          <w:p>
            <w:pPr>
              <w:jc w:val="both"/>
            </w:pPr>
            <w:r>
              <w:rPr>
                <w:rFonts w:ascii="Times New Roman" w:hAnsi="Times New Roman"/>
                <w:i/>
                <w:sz w:val="22"/>
              </w:rPr>
              <w:t>"Probemos el modelo. Genero veinte semanas de backlog para entrenar, ejecuto entrenar_modelo y veo las métricas más las variables de mayor peso."</w:t>
            </w:r>
          </w:p>
        </w:tc>
      </w:tr>
    </w:tbl>
    <w:p/>
    <w:p>
      <w:r>
        <w:rPr>
          <w:rFonts w:ascii="Times New Roman" w:hAnsi="Times New Roman"/>
          <w:i/>
          <w:color w:val="C07010"/>
          <w:sz w:val="20"/>
        </w:rPr>
        <w:t xml:space="preserve">  Entrena, calibra y reporta AUC, PR-AUC y Brier</w:t>
      </w:r>
    </w:p>
    <w:tbl>
      <w:tblPr>
        <w:tblW w:type="auto" w:w="0"/>
        <w:tblLook w:firstColumn="1" w:firstRow="1" w:lastColumn="0" w:lastRow="0" w:noHBand="0" w:noVBand="1" w:val="04A0"/>
      </w:tblPr>
      <w:tblGrid>
        <w:gridCol w:w="8640"/>
      </w:tblGrid>
      <w:tr>
        <w:tc>
          <w:tcPr>
            <w:tcW w:type="dxa" w:w="8640"/>
            <w:shd w:val="clear" w:color="auto" w:fill="1E2761"/>
          </w:tcPr>
          <w:p>
            <w:r>
              <w:rPr>
                <w:rFonts w:ascii="Consolas" w:hAnsi="Consolas"/>
                <w:color w:val="FFFFFF"/>
                <w:sz w:val="20"/>
              </w:rPr>
              <w:t>python -c "</w:t>
            </w:r>
          </w:p>
          <w:p>
            <w:r>
              <w:rPr>
                <w:rFonts w:ascii="Consolas" w:hAnsi="Consolas"/>
                <w:color w:val="FFFFFF"/>
                <w:sz w:val="20"/>
              </w:rPr>
              <w:t>import pandas as pd</w:t>
            </w:r>
          </w:p>
          <w:p>
            <w:r>
              <w:rPr>
                <w:rFonts w:ascii="Consolas" w:hAnsi="Consolas"/>
                <w:color w:val="FFFFFF"/>
                <w:sz w:val="20"/>
              </w:rPr>
              <w:t>from src.data_generator import ConfigEscenario, generar_backlog_semanal</w:t>
            </w:r>
          </w:p>
          <w:p>
            <w:r>
              <w:rPr>
                <w:rFonts w:ascii="Consolas" w:hAnsi="Consolas"/>
                <w:color w:val="FFFFFF"/>
                <w:sz w:val="20"/>
              </w:rPr>
              <w:t>from src.model import entrenar_modelo, importancia_variables</w:t>
            </w:r>
          </w:p>
          <w:p>
            <w:r>
              <w:rPr>
                <w:rFonts w:ascii="Consolas" w:hAnsi="Consolas"/>
                <w:color w:val="FFFFFF"/>
                <w:sz w:val="20"/>
              </w:rPr>
              <w:t>cfg = ConfigEscenario()</w:t>
            </w:r>
          </w:p>
          <w:p>
            <w:r>
              <w:rPr>
                <w:rFonts w:ascii="Consolas" w:hAnsi="Consolas"/>
                <w:color w:val="FFFFFF"/>
                <w:sz w:val="20"/>
              </w:rPr>
              <w:t>df_train = pd.concat([generar_backlog_semanal(s, cfg, seed=7) for s in range(1, 21)],</w:t>
            </w:r>
          </w:p>
          <w:p>
            <w:r>
              <w:rPr>
                <w:rFonts w:ascii="Consolas" w:hAnsi="Consolas"/>
                <w:color w:val="FFFFFF"/>
                <w:sz w:val="20"/>
              </w:rPr>
              <w:t xml:space="preserve">                     ignore_index=True)</w:t>
            </w:r>
          </w:p>
          <w:p>
            <w:r>
              <w:rPr>
                <w:rFonts w:ascii="Consolas" w:hAnsi="Consolas"/>
                <w:color w:val="FFFFFF"/>
                <w:sz w:val="20"/>
              </w:rPr>
              <w:t>modelo, met = entrenar_modelo(df_train)</w:t>
            </w:r>
          </w:p>
          <w:p>
            <w:r>
              <w:rPr>
                <w:rFonts w:ascii="Consolas" w:hAnsi="Consolas"/>
                <w:color w:val="FFFFFF"/>
                <w:sz w:val="20"/>
              </w:rPr>
              <w:t>print('Métricas:', met.como_dict())</w:t>
            </w:r>
          </w:p>
          <w:p>
            <w:r>
              <w:rPr>
                <w:rFonts w:ascii="Consolas" w:hAnsi="Consolas"/>
                <w:color w:val="FFFFFF"/>
                <w:sz w:val="20"/>
              </w:rPr>
              <w:t>print()</w:t>
            </w:r>
          </w:p>
          <w:p>
            <w:r>
              <w:rPr>
                <w:rFonts w:ascii="Consolas" w:hAnsi="Consolas"/>
                <w:color w:val="FFFFFF"/>
                <w:sz w:val="20"/>
              </w:rPr>
              <w:t>print(importancia_variables(modelo).head(8))</w:t>
            </w:r>
          </w:p>
          <w:p>
            <w:r>
              <w:rPr>
                <w:rFonts w:ascii="Consolas" w:hAnsi="Consolas"/>
                <w:color w:val="FFFFFF"/>
                <w:sz w:val="20"/>
              </w:rPr>
              <w:t xml:space="preserve">" </w:t>
            </w:r>
          </w:p>
        </w:tc>
      </w:tr>
    </w:tbl>
    <w:tbl>
      <w:tblPr>
        <w:tblW w:type="auto" w:w="0"/>
        <w:tblLook w:firstColumn="1" w:firstRow="1" w:lastColumn="0" w:lastRow="0" w:noHBand="0" w:noVBand="1" w:val="04A0"/>
      </w:tblPr>
      <w:tblGrid>
        <w:gridCol w:w="8640"/>
      </w:tblGrid>
      <w:tr>
        <w:tc>
          <w:tcPr>
            <w:tcW w:type="dxa" w:w="8640"/>
            <w:shd w:val="clear" w:color="auto" w:fill="FFF1CC"/>
          </w:tcPr>
          <w:p>
            <w:r>
              <w:rPr>
                <w:rFonts w:ascii="Calibri" w:hAnsi="Calibri"/>
                <w:b/>
                <w:color w:val="C07010"/>
                <w:sz w:val="20"/>
              </w:rPr>
              <w:t xml:space="preserve">ACCIÓN: </w:t>
            </w:r>
            <w:r>
              <w:rPr>
                <w:rFonts w:ascii="Calibri" w:hAnsi="Calibri"/>
                <w:sz w:val="20"/>
              </w:rPr>
              <w:t>Cuando aparezcan las métricas y la tabla de importancia, señálalas.</w:t>
            </w:r>
          </w:p>
        </w:tc>
      </w:tr>
      <w:tr>
        <w:tc>
          <w:tcPr>
            <w:tcW w:type="dxa" w:w="8640"/>
            <w:shd w:val="clear" w:color="auto" w:fill="EAF1F8"/>
          </w:tcPr>
          <w:p>
            <w:pPr>
              <w:jc w:val="both"/>
            </w:pPr>
            <w:r>
              <w:rPr>
                <w:rFonts w:ascii="Times New Roman" w:hAnsi="Times New Roman"/>
                <w:i/>
                <w:sz w:val="22"/>
              </w:rPr>
              <w:t>"El AUC obtenido en esta corrida es alrededor de 0,77 y el Brier de 0,20, totalmente consistente con los promedios reportados en las réplicas. Y miren las variables de mayor peso: uso acumulado, PM vencidos y criticidad. Son exactamente las que esperaríamos desde la teoría RCM —equipos con alto desgaste, mantenimientos preventivos postergados y mayor criticidad nominal son los más propensos a fallar—. Esto valida que el modelo está aprendiendo señales con sentido físico."</w:t>
            </w:r>
          </w:p>
        </w:tc>
      </w:tr>
    </w:tbl>
    <w:p/>
    <w:p>
      <w:pPr>
        <w:jc w:val="both"/>
      </w:pPr>
      <w:r>
        <w:rPr>
          <w:rFonts w:ascii="Times New Roman" w:hAnsi="Times New Roman"/>
          <w:b/>
          <w:color w:val="2E75B6"/>
          <w:sz w:val="22"/>
        </w:rPr>
        <w:t>→ Pasamos a la optimización.</w:t>
      </w:r>
    </w:p>
    <w:p>
      <w:r>
        <w:br w:type="page"/>
      </w:r>
    </w:p>
    <w:p>
      <w:pPr>
        <w:pStyle w:val="Heading1"/>
      </w:pPr>
      <w:r>
        <w:rPr>
          <w:rFonts w:ascii="Times New Roman" w:hAnsi="Times New Roman"/>
          <w:color w:val="1F3A5F"/>
        </w:rPr>
        <w:t>Paso 3 — Optimización y baseline (OE3)</w:t>
      </w:r>
    </w:p>
    <w:p>
      <w:pPr>
        <w:pStyle w:val="Heading2"/>
      </w:pPr>
      <w:r>
        <w:rPr>
          <w:rFonts w:ascii="Times New Roman" w:hAnsi="Times New Roman"/>
          <w:color w:val="2E75B6"/>
        </w:rPr>
        <w:t>3.1 Apertura del módulo</w:t>
      </w:r>
    </w:p>
    <w:tbl>
      <w:tblPr>
        <w:tblW w:type="auto" w:w="0"/>
        <w:tblLook w:firstColumn="1" w:firstRow="1" w:lastColumn="0" w:lastRow="0" w:noHBand="0" w:noVBand="1" w:val="04A0"/>
      </w:tblPr>
      <w:tblGrid>
        <w:gridCol w:w="8640"/>
      </w:tblGrid>
      <w:tr>
        <w:tc>
          <w:tcPr>
            <w:tcW w:type="dxa" w:w="8640"/>
            <w:shd w:val="clear" w:color="auto" w:fill="FFF1CC"/>
          </w:tcPr>
          <w:p>
            <w:r>
              <w:rPr>
                <w:rFonts w:ascii="Calibri" w:hAnsi="Calibri"/>
                <w:b/>
                <w:color w:val="C07010"/>
                <w:sz w:val="20"/>
              </w:rPr>
              <w:t xml:space="preserve">ACCIÓN: </w:t>
            </w:r>
            <w:r>
              <w:rPr>
                <w:rFonts w:ascii="Calibri" w:hAnsi="Calibri"/>
                <w:sz w:val="20"/>
              </w:rPr>
              <w:t>Abre src/optimizer.py.</w:t>
            </w:r>
          </w:p>
        </w:tc>
      </w:tr>
      <w:tr>
        <w:tc>
          <w:tcPr>
            <w:tcW w:type="dxa" w:w="8640"/>
            <w:shd w:val="clear" w:color="auto" w:fill="EAF1F8"/>
          </w:tcPr>
          <w:p>
            <w:pPr>
              <w:jc w:val="both"/>
            </w:pPr>
            <w:r>
              <w:rPr>
                <w:rFonts w:ascii="Times New Roman" w:hAnsi="Times New Roman"/>
                <w:i/>
                <w:sz w:val="22"/>
              </w:rPr>
              <w:t>"Este es el módulo optimizer punto py, donde se cierra el tercer objetivo específico: formular y resolver la selección semanal de órdenes de trabajo bajo restricciones operativas. La idea es que dado el puntaje de riesgo MCDA de cada WO, el modelo elija el subconjunto óptimo que se debe ejecutar esta semana, maximizando la suma de riesgo atendido sin pasarse de horas, sin requerir habilidades inexistentes y sin programar WO cuyo repuesto no está disponible."</w:t>
            </w:r>
          </w:p>
        </w:tc>
      </w:tr>
    </w:tbl>
    <w:p/>
    <w:p>
      <w:pPr>
        <w:pStyle w:val="Heading2"/>
      </w:pPr>
      <w:r>
        <w:rPr>
          <w:rFonts w:ascii="Times New Roman" w:hAnsi="Times New Roman"/>
          <w:color w:val="2E75B6"/>
        </w:rPr>
        <w:t>3.2 Importación condicional de PuLP</w:t>
      </w:r>
    </w:p>
    <w:tbl>
      <w:tblPr>
        <w:tblW w:type="auto" w:w="0"/>
        <w:tblLook w:firstColumn="1" w:firstRow="1" w:lastColumn="0" w:lastRow="0" w:noHBand="0" w:noVBand="1" w:val="04A0"/>
      </w:tblPr>
      <w:tblGrid>
        <w:gridCol w:w="8640"/>
      </w:tblGrid>
      <w:tr>
        <w:tc>
          <w:tcPr>
            <w:tcW w:type="dxa" w:w="8640"/>
            <w:shd w:val="clear" w:color="auto" w:fill="FFF1CC"/>
          </w:tcPr>
          <w:p>
            <w:r>
              <w:rPr>
                <w:rFonts w:ascii="Calibri" w:hAnsi="Calibri"/>
                <w:b/>
                <w:color w:val="C07010"/>
                <w:sz w:val="20"/>
              </w:rPr>
              <w:t xml:space="preserve">ACCIÓN: </w:t>
            </w:r>
            <w:r>
              <w:rPr>
                <w:rFonts w:ascii="Calibri" w:hAnsi="Calibri"/>
                <w:sz w:val="20"/>
              </w:rPr>
              <w:t>Resalta el bloque try/except con import pulp.</w:t>
            </w:r>
          </w:p>
        </w:tc>
      </w:tr>
      <w:tr>
        <w:tc>
          <w:tcPr>
            <w:tcW w:type="dxa" w:w="8640"/>
            <w:shd w:val="clear" w:color="auto" w:fill="EAF1F8"/>
          </w:tcPr>
          <w:p>
            <w:pPr>
              <w:jc w:val="both"/>
            </w:pPr>
            <w:r>
              <w:rPr>
                <w:rFonts w:ascii="Times New Roman" w:hAnsi="Times New Roman"/>
                <w:i/>
                <w:sz w:val="22"/>
              </w:rPr>
              <w:t>"Aquí hago algo importante: intento importar PuLP, que es la librería estándar de programación lineal entera en Python. Si está instalada, uso el solver MILP exacto —CBC— que garantiza el óptimo global. Si no está, hago un fallback automático a una heurística greedy con búsqueda local, también implementada en numpy puro. Las dos rutas devuelven exactamente la misma estructura de resultado, así que el resto del código funciona idéntico en ambos casos."</w:t>
            </w:r>
          </w:p>
        </w:tc>
      </w:tr>
    </w:tbl>
    <w:p/>
    <w:p>
      <w:pPr>
        <w:pStyle w:val="Heading2"/>
      </w:pPr>
      <w:r>
        <w:rPr>
          <w:rFonts w:ascii="Times New Roman" w:hAnsi="Times New Roman"/>
          <w:color w:val="2E75B6"/>
        </w:rPr>
        <w:t>3.3 La dataclass ResultadoPlan</w:t>
      </w:r>
    </w:p>
    <w:tbl>
      <w:tblPr>
        <w:tblW w:type="auto" w:w="0"/>
        <w:tblLook w:firstColumn="1" w:firstRow="1" w:lastColumn="0" w:lastRow="0" w:noHBand="0" w:noVBand="1" w:val="04A0"/>
      </w:tblPr>
      <w:tblGrid>
        <w:gridCol w:w="8640"/>
      </w:tblGrid>
      <w:tr>
        <w:tc>
          <w:tcPr>
            <w:tcW w:type="dxa" w:w="8640"/>
            <w:shd w:val="clear" w:color="auto" w:fill="FFF1CC"/>
          </w:tcPr>
          <w:p>
            <w:r>
              <w:rPr>
                <w:rFonts w:ascii="Calibri" w:hAnsi="Calibri"/>
                <w:b/>
                <w:color w:val="C07010"/>
                <w:sz w:val="20"/>
              </w:rPr>
              <w:t xml:space="preserve">ACCIÓN: </w:t>
            </w:r>
            <w:r>
              <w:rPr>
                <w:rFonts w:ascii="Calibri" w:hAnsi="Calibri"/>
                <w:sz w:val="20"/>
              </w:rPr>
              <w:t>Resalta la dataclass ResultadoPlan.</w:t>
            </w:r>
          </w:p>
        </w:tc>
      </w:tr>
      <w:tr>
        <w:tc>
          <w:tcPr>
            <w:tcW w:type="dxa" w:w="8640"/>
            <w:shd w:val="clear" w:color="auto" w:fill="EAF1F8"/>
          </w:tcPr>
          <w:p>
            <w:pPr>
              <w:jc w:val="both"/>
            </w:pPr>
            <w:r>
              <w:rPr>
                <w:rFonts w:ascii="Times New Roman" w:hAnsi="Times New Roman"/>
                <w:i/>
                <w:sz w:val="22"/>
              </w:rPr>
              <w:t>"Esta dataclass encapsula la salida del solver: el vector binario de selección, el riesgo total programado, las horas usadas, las horas por habilidad, el método que se usó —pulp_milp o greedy_local— y el número de WO seleccionadas. Todo en un objeto limpio que después la evaluación consume para calcular los KPIs."</w:t>
            </w:r>
          </w:p>
        </w:tc>
      </w:tr>
    </w:tbl>
    <w:p/>
    <w:p>
      <w:pPr>
        <w:pStyle w:val="Heading2"/>
      </w:pPr>
      <w:r>
        <w:rPr>
          <w:rFonts w:ascii="Times New Roman" w:hAnsi="Times New Roman"/>
          <w:color w:val="2E75B6"/>
        </w:rPr>
        <w:t>3.4 El solver MILP con PuLP</w:t>
      </w:r>
    </w:p>
    <w:tbl>
      <w:tblPr>
        <w:tblW w:type="auto" w:w="0"/>
        <w:tblLook w:firstColumn="1" w:firstRow="1" w:lastColumn="0" w:lastRow="0" w:noHBand="0" w:noVBand="1" w:val="04A0"/>
      </w:tblPr>
      <w:tblGrid>
        <w:gridCol w:w="8640"/>
      </w:tblGrid>
      <w:tr>
        <w:tc>
          <w:tcPr>
            <w:tcW w:type="dxa" w:w="8640"/>
            <w:shd w:val="clear" w:color="auto" w:fill="FFF1CC"/>
          </w:tcPr>
          <w:p>
            <w:r>
              <w:rPr>
                <w:rFonts w:ascii="Calibri" w:hAnsi="Calibri"/>
                <w:b/>
                <w:color w:val="C07010"/>
                <w:sz w:val="20"/>
              </w:rPr>
              <w:t xml:space="preserve">ACCIÓN: </w:t>
            </w:r>
            <w:r>
              <w:rPr>
                <w:rFonts w:ascii="Calibri" w:hAnsi="Calibri"/>
                <w:sz w:val="20"/>
              </w:rPr>
              <w:t>Resalta la función _solver_pulp. Apunta a la línea de la función objetivo.</w:t>
            </w:r>
          </w:p>
        </w:tc>
      </w:tr>
      <w:tr>
        <w:tc>
          <w:tcPr>
            <w:tcW w:type="dxa" w:w="8640"/>
            <w:shd w:val="clear" w:color="auto" w:fill="EAF1F8"/>
          </w:tcPr>
          <w:p>
            <w:pPr>
              <w:jc w:val="both"/>
            </w:pPr>
            <w:r>
              <w:rPr>
                <w:rFonts w:ascii="Times New Roman" w:hAnsi="Times New Roman"/>
                <w:i/>
                <w:sz w:val="22"/>
              </w:rPr>
              <w:t>"Esta es la formulación matemática del problema. Defino una variable binaria x_i por cada WO. La función objetivo, esa línea con prob += pulp.lpSum, dice: maximiza la suma del riesgo de las WO seleccionadas."</w:t>
            </w:r>
          </w:p>
        </w:tc>
      </w:tr>
    </w:tbl>
    <w:p/>
    <w:tbl>
      <w:tblPr>
        <w:tblW w:type="auto" w:w="0"/>
        <w:tblLook w:firstColumn="1" w:firstRow="1" w:lastColumn="0" w:lastRow="0" w:noHBand="0" w:noVBand="1" w:val="04A0"/>
      </w:tblPr>
      <w:tblGrid>
        <w:gridCol w:w="8640"/>
      </w:tblGrid>
      <w:tr>
        <w:tc>
          <w:tcPr>
            <w:tcW w:type="dxa" w:w="8640"/>
            <w:shd w:val="clear" w:color="auto" w:fill="FFF1CC"/>
          </w:tcPr>
          <w:p>
            <w:r>
              <w:rPr>
                <w:rFonts w:ascii="Calibri" w:hAnsi="Calibri"/>
                <w:b/>
                <w:color w:val="C07010"/>
                <w:sz w:val="20"/>
              </w:rPr>
              <w:t xml:space="preserve">ACCIÓN: </w:t>
            </w:r>
            <w:r>
              <w:rPr>
                <w:rFonts w:ascii="Calibri" w:hAnsi="Calibri"/>
                <w:sz w:val="20"/>
              </w:rPr>
              <w:t>Apunta a la primera restricción (horas totales).</w:t>
            </w:r>
          </w:p>
        </w:tc>
      </w:tr>
      <w:tr>
        <w:tc>
          <w:tcPr>
            <w:tcW w:type="dxa" w:w="8640"/>
            <w:shd w:val="clear" w:color="auto" w:fill="EAF1F8"/>
          </w:tcPr>
          <w:p>
            <w:pPr>
              <w:jc w:val="both"/>
            </w:pPr>
            <w:r>
              <w:rPr>
                <w:rFonts w:ascii="Times New Roman" w:hAnsi="Times New Roman"/>
                <w:i/>
                <w:sz w:val="22"/>
              </w:rPr>
              <w:t>"La primera restricción es la capacidad total de horas-hombre: la suma de las duraciones de las WO seleccionadas debe ser menor o igual a las horas disponibles esta semana."</w:t>
            </w:r>
          </w:p>
        </w:tc>
      </w:tr>
    </w:tbl>
    <w:p/>
    <w:tbl>
      <w:tblPr>
        <w:tblW w:type="auto" w:w="0"/>
        <w:tblLook w:firstColumn="1" w:firstRow="1" w:lastColumn="0" w:lastRow="0" w:noHBand="0" w:noVBand="1" w:val="04A0"/>
      </w:tblPr>
      <w:tblGrid>
        <w:gridCol w:w="8640"/>
      </w:tblGrid>
      <w:tr>
        <w:tc>
          <w:tcPr>
            <w:tcW w:type="dxa" w:w="8640"/>
            <w:shd w:val="clear" w:color="auto" w:fill="FFF1CC"/>
          </w:tcPr>
          <w:p>
            <w:r>
              <w:rPr>
                <w:rFonts w:ascii="Calibri" w:hAnsi="Calibri"/>
                <w:b/>
                <w:color w:val="C07010"/>
                <w:sz w:val="20"/>
              </w:rPr>
              <w:t xml:space="preserve">ACCIÓN: </w:t>
            </w:r>
            <w:r>
              <w:rPr>
                <w:rFonts w:ascii="Calibri" w:hAnsi="Calibri"/>
                <w:sz w:val="20"/>
              </w:rPr>
              <w:t>Apunta a la segunda restricción (horas por habilidad).</w:t>
            </w:r>
          </w:p>
        </w:tc>
      </w:tr>
      <w:tr>
        <w:tc>
          <w:tcPr>
            <w:tcW w:type="dxa" w:w="8640"/>
            <w:shd w:val="clear" w:color="auto" w:fill="EAF1F8"/>
          </w:tcPr>
          <w:p>
            <w:pPr>
              <w:jc w:val="both"/>
            </w:pPr>
            <w:r>
              <w:rPr>
                <w:rFonts w:ascii="Times New Roman" w:hAnsi="Times New Roman"/>
                <w:i/>
                <w:sz w:val="22"/>
              </w:rPr>
              <w:t>"La segunda restricción es por habilidad: para cada grupo —instrumentista, mecánico, electricista— la suma de duraciones de las WO seleccionadas que requieren esa habilidad no puede superar las horas disponibles para ella. Esto es realista porque en una planta no es lo mismo tener 200 horas totales que 80 horas de cada especialidad."</w:t>
            </w:r>
          </w:p>
        </w:tc>
      </w:tr>
    </w:tbl>
    <w:p/>
    <w:tbl>
      <w:tblPr>
        <w:tblW w:type="auto" w:w="0"/>
        <w:tblLook w:firstColumn="1" w:firstRow="1" w:lastColumn="0" w:lastRow="0" w:noHBand="0" w:noVBand="1" w:val="04A0"/>
      </w:tblPr>
      <w:tblGrid>
        <w:gridCol w:w="8640"/>
      </w:tblGrid>
      <w:tr>
        <w:tc>
          <w:tcPr>
            <w:tcW w:type="dxa" w:w="8640"/>
            <w:shd w:val="clear" w:color="auto" w:fill="FFF1CC"/>
          </w:tcPr>
          <w:p>
            <w:r>
              <w:rPr>
                <w:rFonts w:ascii="Calibri" w:hAnsi="Calibri"/>
                <w:b/>
                <w:color w:val="C07010"/>
                <w:sz w:val="20"/>
              </w:rPr>
              <w:t xml:space="preserve">ACCIÓN: </w:t>
            </w:r>
            <w:r>
              <w:rPr>
                <w:rFonts w:ascii="Calibri" w:hAnsi="Calibri"/>
                <w:sz w:val="20"/>
              </w:rPr>
              <w:t>Apunta a la tercera restricción (repuestos).</w:t>
            </w:r>
          </w:p>
        </w:tc>
      </w:tr>
      <w:tr>
        <w:tc>
          <w:tcPr>
            <w:tcW w:type="dxa" w:w="8640"/>
            <w:shd w:val="clear" w:color="auto" w:fill="EAF1F8"/>
          </w:tcPr>
          <w:p>
            <w:pPr>
              <w:jc w:val="both"/>
            </w:pPr>
            <w:r>
              <w:rPr>
                <w:rFonts w:ascii="Times New Roman" w:hAnsi="Times New Roman"/>
                <w:i/>
                <w:sz w:val="22"/>
              </w:rPr>
              <w:t>"La tercera restricción gestiona los repuestos críticos. Para cada repuesto del catálogo, el número de WO seleccionadas que lo requieren no puede exceder el stock on-hand. Esto evita comprometer el plan con tareas que no se podrán ejecutar."</w:t>
            </w:r>
          </w:p>
        </w:tc>
      </w:tr>
    </w:tbl>
    <w:p/>
    <w:tbl>
      <w:tblPr>
        <w:tblW w:type="auto" w:w="0"/>
        <w:tblLook w:firstColumn="1" w:firstRow="1" w:lastColumn="0" w:lastRow="0" w:noHBand="0" w:noVBand="1" w:val="04A0"/>
      </w:tblPr>
      <w:tblGrid>
        <w:gridCol w:w="8640"/>
      </w:tblGrid>
      <w:tr>
        <w:tc>
          <w:tcPr>
            <w:tcW w:type="dxa" w:w="8640"/>
            <w:shd w:val="clear" w:color="auto" w:fill="FFF1CC"/>
          </w:tcPr>
          <w:p>
            <w:r>
              <w:rPr>
                <w:rFonts w:ascii="Calibri" w:hAnsi="Calibri"/>
                <w:b/>
                <w:color w:val="C07010"/>
                <w:sz w:val="20"/>
              </w:rPr>
              <w:t xml:space="preserve">ACCIÓN: </w:t>
            </w:r>
            <w:r>
              <w:rPr>
                <w:rFonts w:ascii="Calibri" w:hAnsi="Calibri"/>
                <w:sz w:val="20"/>
              </w:rPr>
              <w:t>Apunta al bloque que fuerza x_i = 0 cuando el repuesto no está disponible.</w:t>
            </w:r>
          </w:p>
        </w:tc>
      </w:tr>
      <w:tr>
        <w:tc>
          <w:tcPr>
            <w:tcW w:type="dxa" w:w="8640"/>
            <w:shd w:val="clear" w:color="auto" w:fill="EAF1F8"/>
          </w:tcPr>
          <w:p>
            <w:pPr>
              <w:jc w:val="both"/>
            </w:pPr>
            <w:r>
              <w:rPr>
                <w:rFonts w:ascii="Times New Roman" w:hAnsi="Times New Roman"/>
                <w:i/>
                <w:sz w:val="22"/>
              </w:rPr>
              <w:t>"Y como capa final, fuerzo a cero las variables de las WO cuyo repuesto está marcado como no disponible. Es una restricción estructural que el solver respeta de forma estricta."</w:t>
            </w:r>
          </w:p>
        </w:tc>
      </w:tr>
    </w:tbl>
    <w:p/>
    <w:tbl>
      <w:tblPr>
        <w:tblW w:type="auto" w:w="0"/>
        <w:tblLook w:firstColumn="1" w:firstRow="1" w:lastColumn="0" w:lastRow="0" w:noHBand="0" w:noVBand="1" w:val="04A0"/>
      </w:tblPr>
      <w:tblGrid>
        <w:gridCol w:w="8640"/>
      </w:tblGrid>
      <w:tr>
        <w:tc>
          <w:tcPr>
            <w:tcW w:type="dxa" w:w="8640"/>
            <w:shd w:val="clear" w:color="auto" w:fill="FFF1CC"/>
          </w:tcPr>
          <w:p>
            <w:r>
              <w:rPr>
                <w:rFonts w:ascii="Calibri" w:hAnsi="Calibri"/>
                <w:b/>
                <w:color w:val="C07010"/>
                <w:sz w:val="20"/>
              </w:rPr>
              <w:t xml:space="preserve">ACCIÓN: </w:t>
            </w:r>
            <w:r>
              <w:rPr>
                <w:rFonts w:ascii="Calibri" w:hAnsi="Calibri"/>
                <w:sz w:val="20"/>
              </w:rPr>
              <w:t>Resalta la línea prob.solve(pulp.PULP_CBC_CMD(msg=False)).</w:t>
            </w:r>
          </w:p>
        </w:tc>
      </w:tr>
      <w:tr>
        <w:tc>
          <w:tcPr>
            <w:tcW w:type="dxa" w:w="8640"/>
            <w:shd w:val="clear" w:color="auto" w:fill="EAF1F8"/>
          </w:tcPr>
          <w:p>
            <w:pPr>
              <w:jc w:val="both"/>
            </w:pPr>
            <w:r>
              <w:rPr>
                <w:rFonts w:ascii="Times New Roman" w:hAnsi="Times New Roman"/>
                <w:i/>
                <w:sz w:val="22"/>
              </w:rPr>
              <w:t>"Aquí invoco al solver CBC en modo silencioso. Para los tamaños de backlog que estamos manejando —entre 20 y 100 WO— resuelve en milisegundos."</w:t>
            </w:r>
          </w:p>
        </w:tc>
      </w:tr>
    </w:tbl>
    <w:p/>
    <w:p>
      <w:pPr>
        <w:pStyle w:val="Heading2"/>
      </w:pPr>
      <w:r>
        <w:rPr>
          <w:rFonts w:ascii="Times New Roman" w:hAnsi="Times New Roman"/>
          <w:color w:val="2E75B6"/>
        </w:rPr>
        <w:t>3.5 El fallback greedy + búsqueda local</w:t>
      </w:r>
    </w:p>
    <w:tbl>
      <w:tblPr>
        <w:tblW w:type="auto" w:w="0"/>
        <w:tblLook w:firstColumn="1" w:firstRow="1" w:lastColumn="0" w:lastRow="0" w:noHBand="0" w:noVBand="1" w:val="04A0"/>
      </w:tblPr>
      <w:tblGrid>
        <w:gridCol w:w="8640"/>
      </w:tblGrid>
      <w:tr>
        <w:tc>
          <w:tcPr>
            <w:tcW w:type="dxa" w:w="8640"/>
            <w:shd w:val="clear" w:color="auto" w:fill="FFF1CC"/>
          </w:tcPr>
          <w:p>
            <w:r>
              <w:rPr>
                <w:rFonts w:ascii="Calibri" w:hAnsi="Calibri"/>
                <w:b/>
                <w:color w:val="C07010"/>
                <w:sz w:val="20"/>
              </w:rPr>
              <w:t xml:space="preserve">ACCIÓN: </w:t>
            </w:r>
            <w:r>
              <w:rPr>
                <w:rFonts w:ascii="Calibri" w:hAnsi="Calibri"/>
                <w:sz w:val="20"/>
              </w:rPr>
              <w:t>Baja a la función _solver_greedy. Resalta el cálculo de densidad.</w:t>
            </w:r>
          </w:p>
        </w:tc>
      </w:tr>
      <w:tr>
        <w:tc>
          <w:tcPr>
            <w:tcW w:type="dxa" w:w="8640"/>
            <w:shd w:val="clear" w:color="auto" w:fill="EAF1F8"/>
          </w:tcPr>
          <w:p>
            <w:pPr>
              <w:jc w:val="both"/>
            </w:pPr>
            <w:r>
              <w:rPr>
                <w:rFonts w:ascii="Times New Roman" w:hAnsi="Times New Roman"/>
                <w:i/>
                <w:sz w:val="22"/>
              </w:rPr>
              <w:t>"Para entornos sin PuLP, implemento un greedy clásico: ordeno las WO por densidad de valor —riesgo dividido entre horas— de mayor a menor, y voy agregando la siguiente WO siempre que respete todas las restricciones. Es un enfoque heurístico, no garantiza el óptimo, pero en problemas de tamaño moderado es muy bueno."</w:t>
            </w:r>
          </w:p>
        </w:tc>
      </w:tr>
    </w:tbl>
    <w:p/>
    <w:tbl>
      <w:tblPr>
        <w:tblW w:type="auto" w:w="0"/>
        <w:tblLook w:firstColumn="1" w:firstRow="1" w:lastColumn="0" w:lastRow="0" w:noHBand="0" w:noVBand="1" w:val="04A0"/>
      </w:tblPr>
      <w:tblGrid>
        <w:gridCol w:w="8640"/>
      </w:tblGrid>
      <w:tr>
        <w:tc>
          <w:tcPr>
            <w:tcW w:type="dxa" w:w="8640"/>
            <w:shd w:val="clear" w:color="auto" w:fill="FFF1CC"/>
          </w:tcPr>
          <w:p>
            <w:r>
              <w:rPr>
                <w:rFonts w:ascii="Calibri" w:hAnsi="Calibri"/>
                <w:b/>
                <w:color w:val="C07010"/>
                <w:sz w:val="20"/>
              </w:rPr>
              <w:t xml:space="preserve">ACCIÓN: </w:t>
            </w:r>
            <w:r>
              <w:rPr>
                <w:rFonts w:ascii="Calibri" w:hAnsi="Calibri"/>
                <w:sz w:val="20"/>
              </w:rPr>
              <w:t>Resalta el bloque del 2-swap (variable mejora con bucle while).</w:t>
            </w:r>
          </w:p>
        </w:tc>
      </w:tr>
      <w:tr>
        <w:tc>
          <w:tcPr>
            <w:tcW w:type="dxa" w:w="8640"/>
            <w:shd w:val="clear" w:color="auto" w:fill="EAF1F8"/>
          </w:tcPr>
          <w:p>
            <w:pPr>
              <w:jc w:val="both"/>
            </w:pPr>
            <w:r>
              <w:rPr>
                <w:rFonts w:ascii="Times New Roman" w:hAnsi="Times New Roman"/>
                <w:i/>
                <w:sz w:val="22"/>
              </w:rPr>
              <w:t>"Para mejorar la solución greedy aplico una búsqueda local 2-swap: para cada WO ya seleccionada, evalúo si quitarla y reemplazarla por una o dos WO de afuera mejora el riesgo total respetando las restricciones. Este postproceso cierra la brecha con el óptimo en la mayoría de los casos."</w:t>
            </w:r>
          </w:p>
        </w:tc>
      </w:tr>
    </w:tbl>
    <w:p/>
    <w:p>
      <w:pPr>
        <w:pStyle w:val="Heading2"/>
      </w:pPr>
      <w:r>
        <w:rPr>
          <w:rFonts w:ascii="Times New Roman" w:hAnsi="Times New Roman"/>
          <w:color w:val="2E75B6"/>
        </w:rPr>
        <w:t>3.6 El baseline</w:t>
      </w:r>
    </w:p>
    <w:tbl>
      <w:tblPr>
        <w:tblW w:type="auto" w:w="0"/>
        <w:tblLook w:firstColumn="1" w:firstRow="1" w:lastColumn="0" w:lastRow="0" w:noHBand="0" w:noVBand="1" w:val="04A0"/>
      </w:tblPr>
      <w:tblGrid>
        <w:gridCol w:w="8640"/>
      </w:tblGrid>
      <w:tr>
        <w:tc>
          <w:tcPr>
            <w:tcW w:type="dxa" w:w="8640"/>
            <w:shd w:val="clear" w:color="auto" w:fill="FFF1CC"/>
          </w:tcPr>
          <w:p>
            <w:r>
              <w:rPr>
                <w:rFonts w:ascii="Calibri" w:hAnsi="Calibri"/>
                <w:b/>
                <w:color w:val="C07010"/>
                <w:sz w:val="20"/>
              </w:rPr>
              <w:t xml:space="preserve">ACCIÓN: </w:t>
            </w:r>
            <w:r>
              <w:rPr>
                <w:rFonts w:ascii="Calibri" w:hAnsi="Calibri"/>
                <w:sz w:val="20"/>
              </w:rPr>
              <w:t>Abre src/baseline.py.</w:t>
            </w:r>
          </w:p>
        </w:tc>
      </w:tr>
      <w:tr>
        <w:tc>
          <w:tcPr>
            <w:tcW w:type="dxa" w:w="8640"/>
            <w:shd w:val="clear" w:color="auto" w:fill="EAF1F8"/>
          </w:tcPr>
          <w:p>
            <w:pPr>
              <w:jc w:val="both"/>
            </w:pPr>
            <w:r>
              <w:rPr>
                <w:rFonts w:ascii="Times New Roman" w:hAnsi="Times New Roman"/>
                <w:i/>
                <w:sz w:val="22"/>
              </w:rPr>
              <w:t>"Este es el rival contra el que comparo el modelo: la política tradicional. La función baseline_prioridad_fecha ordena las WO por dos criterios típicos de un CMMS legacy: primero por prioridad nominal —recuerden que está poco correlacionada con la criticidad real— y luego por días en backlog, dando preferencia a las más antiguas. Después rellena el plan greedy respetando exactamente las mismas restricciones de horas y repuestos que el modelo."</w:t>
            </w:r>
          </w:p>
        </w:tc>
      </w:tr>
    </w:tbl>
    <w:p/>
    <w:tbl>
      <w:tblPr>
        <w:tblW w:type="auto" w:w="0"/>
        <w:tblLook w:firstColumn="1" w:firstRow="1" w:lastColumn="0" w:lastRow="0" w:noHBand="0" w:noVBand="1" w:val="04A0"/>
      </w:tblPr>
      <w:tblGrid>
        <w:gridCol w:w="8640"/>
      </w:tblGrid>
      <w:tr>
        <w:tc>
          <w:tcPr>
            <w:tcW w:type="dxa" w:w="8640"/>
            <w:shd w:val="clear" w:color="auto" w:fill="FFF1CC"/>
          </w:tcPr>
          <w:p>
            <w:r>
              <w:rPr>
                <w:rFonts w:ascii="Calibri" w:hAnsi="Calibri"/>
                <w:b/>
                <w:color w:val="C07010"/>
                <w:sz w:val="20"/>
              </w:rPr>
              <w:t xml:space="preserve">ACCIÓN: </w:t>
            </w:r>
            <w:r>
              <w:rPr>
                <w:rFonts w:ascii="Calibri" w:hAnsi="Calibri"/>
                <w:sz w:val="20"/>
              </w:rPr>
              <w:t>Resalta la línea con np.lexsort.</w:t>
            </w:r>
          </w:p>
        </w:tc>
      </w:tr>
      <w:tr>
        <w:tc>
          <w:tcPr>
            <w:tcW w:type="dxa" w:w="8640"/>
            <w:shd w:val="clear" w:color="auto" w:fill="EAF1F8"/>
          </w:tcPr>
          <w:p>
            <w:pPr>
              <w:jc w:val="both"/>
            </w:pPr>
            <w:r>
              <w:rPr>
                <w:rFonts w:ascii="Times New Roman" w:hAnsi="Times New Roman"/>
                <w:i/>
                <w:sz w:val="22"/>
              </w:rPr>
              <w:t>"Esta línea es importante metodológicamente: el baseline respeta las mismas restricciones que el modelo. Eso quiere decir que cualquier diferencia en el desempeño viene exclusivamente del criterio de priorización, no de violar reglas. Es una comparación justa."</w:t>
            </w:r>
          </w:p>
        </w:tc>
      </w:tr>
    </w:tbl>
    <w:p/>
    <w:p>
      <w:pPr>
        <w:pStyle w:val="Heading2"/>
      </w:pPr>
      <w:r>
        <w:rPr>
          <w:rFonts w:ascii="Times New Roman" w:hAnsi="Times New Roman"/>
          <w:color w:val="2E75B6"/>
        </w:rPr>
        <w:t>3.7 Ejecución en vivo</w:t>
      </w:r>
    </w:p>
    <w:tbl>
      <w:tblPr>
        <w:tblW w:type="auto" w:w="0"/>
        <w:tblLook w:firstColumn="1" w:firstRow="1" w:lastColumn="0" w:lastRow="0" w:noHBand="0" w:noVBand="1" w:val="04A0"/>
      </w:tblPr>
      <w:tblGrid>
        <w:gridCol w:w="8640"/>
      </w:tblGrid>
      <w:tr>
        <w:tc>
          <w:tcPr>
            <w:tcW w:type="dxa" w:w="8640"/>
            <w:shd w:val="clear" w:color="auto" w:fill="FFF1CC"/>
          </w:tcPr>
          <w:p>
            <w:r>
              <w:rPr>
                <w:rFonts w:ascii="Calibri" w:hAnsi="Calibri"/>
                <w:b/>
                <w:color w:val="C07010"/>
                <w:sz w:val="20"/>
              </w:rPr>
              <w:t xml:space="preserve">ACCIÓN: </w:t>
            </w:r>
            <w:r>
              <w:rPr>
                <w:rFonts w:ascii="Calibri" w:hAnsi="Calibri"/>
                <w:sz w:val="20"/>
              </w:rPr>
              <w:t>Cambia a la terminal y ejecuta el comando.</w:t>
            </w:r>
          </w:p>
        </w:tc>
      </w:tr>
      <w:tr>
        <w:tc>
          <w:tcPr>
            <w:tcW w:type="dxa" w:w="8640"/>
            <w:shd w:val="clear" w:color="auto" w:fill="EAF1F8"/>
          </w:tcPr>
          <w:p>
            <w:pPr>
              <w:jc w:val="both"/>
            </w:pPr>
            <w:r>
              <w:rPr>
                <w:rFonts w:ascii="Times New Roman" w:hAnsi="Times New Roman"/>
                <w:i/>
                <w:sz w:val="22"/>
              </w:rPr>
              <w:t>"Vamos a comparar el modelo y el baseline en una semana de prueba."</w:t>
            </w:r>
          </w:p>
        </w:tc>
      </w:tr>
    </w:tbl>
    <w:p/>
    <w:p>
      <w:r>
        <w:rPr>
          <w:rFonts w:ascii="Times New Roman" w:hAnsi="Times New Roman"/>
          <w:i/>
          <w:color w:val="C07010"/>
          <w:sz w:val="20"/>
        </w:rPr>
        <w:t xml:space="preserve">  Compara modelo MILP vs. baseline en una sola semana</w:t>
      </w:r>
    </w:p>
    <w:tbl>
      <w:tblPr>
        <w:tblW w:type="auto" w:w="0"/>
        <w:tblLook w:firstColumn="1" w:firstRow="1" w:lastColumn="0" w:lastRow="0" w:noHBand="0" w:noVBand="1" w:val="04A0"/>
      </w:tblPr>
      <w:tblGrid>
        <w:gridCol w:w="8640"/>
      </w:tblGrid>
      <w:tr>
        <w:tc>
          <w:tcPr>
            <w:tcW w:type="dxa" w:w="8640"/>
            <w:shd w:val="clear" w:color="auto" w:fill="1E2761"/>
          </w:tcPr>
          <w:p>
            <w:r>
              <w:rPr>
                <w:rFonts w:ascii="Consolas" w:hAnsi="Consolas"/>
                <w:color w:val="FFFFFF"/>
                <w:sz w:val="20"/>
              </w:rPr>
              <w:t>python -c "</w:t>
            </w:r>
          </w:p>
          <w:p>
            <w:r>
              <w:rPr>
                <w:rFonts w:ascii="Consolas" w:hAnsi="Consolas"/>
                <w:color w:val="FFFFFF"/>
                <w:sz w:val="20"/>
              </w:rPr>
              <w:t>from src.data_generator import ConfigEscenario, generar_backlog_semanal</w:t>
            </w:r>
          </w:p>
          <w:p>
            <w:r>
              <w:rPr>
                <w:rFonts w:ascii="Consolas" w:hAnsi="Consolas"/>
                <w:color w:val="FFFFFF"/>
                <w:sz w:val="20"/>
              </w:rPr>
              <w:t>from src.model import entrenar_modelo</w:t>
            </w:r>
          </w:p>
          <w:p>
            <w:r>
              <w:rPr>
                <w:rFonts w:ascii="Consolas" w:hAnsi="Consolas"/>
                <w:color w:val="FFFFFF"/>
                <w:sz w:val="20"/>
              </w:rPr>
              <w:t>from src.mcda import calcular_riesgo</w:t>
            </w:r>
          </w:p>
          <w:p>
            <w:r>
              <w:rPr>
                <w:rFonts w:ascii="Consolas" w:hAnsi="Consolas"/>
                <w:color w:val="FFFFFF"/>
                <w:sz w:val="20"/>
              </w:rPr>
              <w:t>from src.optimizer import resolver_plan_semanal</w:t>
            </w:r>
          </w:p>
          <w:p>
            <w:r>
              <w:rPr>
                <w:rFonts w:ascii="Consolas" w:hAnsi="Consolas"/>
                <w:color w:val="FFFFFF"/>
                <w:sz w:val="20"/>
              </w:rPr>
              <w:t>from src.baseline import baseline_prioridad_fecha</w:t>
            </w:r>
          </w:p>
          <w:p>
            <w:r>
              <w:rPr>
                <w:rFonts w:ascii="Consolas" w:hAnsi="Consolas"/>
                <w:color w:val="FFFFFF"/>
                <w:sz w:val="20"/>
              </w:rPr>
              <w:t>from src.evaluation import calcular_kpis, comparar</w:t>
            </w:r>
          </w:p>
          <w:p>
            <w:r>
              <w:rPr>
                <w:rFonts w:ascii="Consolas" w:hAnsi="Consolas"/>
                <w:color w:val="FFFFFF"/>
                <w:sz w:val="20"/>
              </w:rPr>
              <w:t>import pandas as pd</w:t>
            </w:r>
          </w:p>
          <w:p>
            <w:r>
              <w:rPr>
                <w:rFonts w:ascii="Consolas" w:hAnsi="Consolas"/>
                <w:color w:val="FFFFFF"/>
                <w:sz w:val="20"/>
              </w:rPr>
              <w:t>cfg = ConfigEscenario()</w:t>
            </w:r>
          </w:p>
          <w:p>
            <w:r>
              <w:rPr>
                <w:rFonts w:ascii="Consolas" w:hAnsi="Consolas"/>
                <w:color w:val="FFFFFF"/>
                <w:sz w:val="20"/>
              </w:rPr>
              <w:t>df_train = pd.concat([generar_backlog_semanal(s, cfg, seed=7) for s in range(1, 21)],</w:t>
            </w:r>
          </w:p>
          <w:p>
            <w:r>
              <w:rPr>
                <w:rFonts w:ascii="Consolas" w:hAnsi="Consolas"/>
                <w:color w:val="FFFFFF"/>
                <w:sz w:val="20"/>
              </w:rPr>
              <w:t xml:space="preserve">                     ignore_index=True)</w:t>
            </w:r>
          </w:p>
          <w:p>
            <w:r>
              <w:rPr>
                <w:rFonts w:ascii="Consolas" w:hAnsi="Consolas"/>
                <w:color w:val="FFFFFF"/>
                <w:sz w:val="20"/>
              </w:rPr>
              <w:t>modelo, _ = entrenar_modelo(df_train)</w:t>
            </w:r>
          </w:p>
          <w:p>
            <w:r>
              <w:rPr>
                <w:rFonts w:ascii="Consolas" w:hAnsi="Consolas"/>
                <w:color w:val="FFFFFF"/>
                <w:sz w:val="20"/>
              </w:rPr>
              <w:t>df_test = generar_backlog_semanal(21, cfg, seed=99)</w:t>
            </w:r>
          </w:p>
          <w:p>
            <w:r>
              <w:rPr>
                <w:rFonts w:ascii="Consolas" w:hAnsi="Consolas"/>
                <w:color w:val="FFFFFF"/>
                <w:sz w:val="20"/>
              </w:rPr>
              <w:t>proba   = modelo.predict_proba(df_test)</w:t>
            </w:r>
          </w:p>
          <w:p>
            <w:r>
              <w:rPr>
                <w:rFonts w:ascii="Consolas" w:hAnsi="Consolas"/>
                <w:color w:val="FFFFFF"/>
                <w:sz w:val="20"/>
              </w:rPr>
              <w:t>df_score = calcular_riesgo(df_test, proba)</w:t>
            </w:r>
          </w:p>
          <w:p>
            <w:r>
              <w:rPr>
                <w:rFonts w:ascii="Consolas" w:hAnsi="Consolas"/>
                <w:color w:val="FFFFFF"/>
                <w:sz w:val="20"/>
              </w:rPr>
              <w:t>plan_b = baseline_prioridad_fecha(df_score, cfg.horas_totales, cfg.horas_por_habilidad)</w:t>
            </w:r>
          </w:p>
          <w:p>
            <w:r>
              <w:rPr>
                <w:rFonts w:ascii="Consolas" w:hAnsi="Consolas"/>
                <w:color w:val="FFFFFF"/>
                <w:sz w:val="20"/>
              </w:rPr>
              <w:t>plan_m = resolver_plan_semanal(df_score, cfg.horas_totales, cfg.horas_por_habilidad)</w:t>
            </w:r>
          </w:p>
          <w:p>
            <w:r>
              <w:rPr>
                <w:rFonts w:ascii="Consolas" w:hAnsi="Consolas"/>
                <w:color w:val="FFFFFF"/>
                <w:sz w:val="20"/>
              </w:rPr>
              <w:t>kpi_b = calcular_kpis(df_score, plan_b, cfg.horas_totales, cfg.horas_por_habilidad)</w:t>
            </w:r>
          </w:p>
          <w:p>
            <w:r>
              <w:rPr>
                <w:rFonts w:ascii="Consolas" w:hAnsi="Consolas"/>
                <w:color w:val="FFFFFF"/>
                <w:sz w:val="20"/>
              </w:rPr>
              <w:t>kpi_m = calcular_kpis(df_score, plan_m, cfg.horas_totales, cfg.horas_por_habilidad)</w:t>
            </w:r>
          </w:p>
          <w:p>
            <w:r>
              <w:rPr>
                <w:rFonts w:ascii="Consolas" w:hAnsi="Consolas"/>
                <w:color w:val="FFFFFF"/>
                <w:sz w:val="20"/>
              </w:rPr>
              <w:t>print('BASELINE riesgo residual:', round(kpi_b.riesgo_residual_abs, 2))</w:t>
            </w:r>
          </w:p>
          <w:p>
            <w:r>
              <w:rPr>
                <w:rFonts w:ascii="Consolas" w:hAnsi="Consolas"/>
                <w:color w:val="FFFFFF"/>
                <w:sz w:val="20"/>
              </w:rPr>
              <w:t>print('MODELO  riesgo residual:', round(kpi_m.riesgo_residual_abs, 2))</w:t>
            </w:r>
          </w:p>
          <w:p>
            <w:r>
              <w:rPr>
                <w:rFonts w:ascii="Consolas" w:hAnsi="Consolas"/>
                <w:color w:val="FFFFFF"/>
                <w:sz w:val="20"/>
              </w:rPr>
              <w:t>print('Mejora:', comparar(kpi_b, kpi_m))</w:t>
            </w:r>
          </w:p>
          <w:p>
            <w:r>
              <w:rPr>
                <w:rFonts w:ascii="Consolas" w:hAnsi="Consolas"/>
                <w:color w:val="FFFFFF"/>
                <w:sz w:val="20"/>
              </w:rPr>
              <w:t xml:space="preserve">" </w:t>
            </w:r>
          </w:p>
        </w:tc>
      </w:tr>
    </w:tbl>
    <w:tbl>
      <w:tblPr>
        <w:tblW w:type="auto" w:w="0"/>
        <w:tblLook w:firstColumn="1" w:firstRow="1" w:lastColumn="0" w:lastRow="0" w:noHBand="0" w:noVBand="1" w:val="04A0"/>
      </w:tblPr>
      <w:tblGrid>
        <w:gridCol w:w="8640"/>
      </w:tblGrid>
      <w:tr>
        <w:tc>
          <w:tcPr>
            <w:tcW w:type="dxa" w:w="8640"/>
            <w:shd w:val="clear" w:color="auto" w:fill="FFF1CC"/>
          </w:tcPr>
          <w:p>
            <w:r>
              <w:rPr>
                <w:rFonts w:ascii="Calibri" w:hAnsi="Calibri"/>
                <w:b/>
                <w:color w:val="C07010"/>
                <w:sz w:val="20"/>
              </w:rPr>
              <w:t xml:space="preserve">ACCIÓN: </w:t>
            </w:r>
            <w:r>
              <w:rPr>
                <w:rFonts w:ascii="Calibri" w:hAnsi="Calibri"/>
                <w:sz w:val="20"/>
              </w:rPr>
              <w:t>Cuando aparezca el resultado, señala los dos números (baseline y modelo).</w:t>
            </w:r>
          </w:p>
        </w:tc>
      </w:tr>
      <w:tr>
        <w:tc>
          <w:tcPr>
            <w:tcW w:type="dxa" w:w="8640"/>
            <w:shd w:val="clear" w:color="auto" w:fill="EAF1F8"/>
          </w:tcPr>
          <w:p>
            <w:pPr>
              <w:jc w:val="both"/>
            </w:pPr>
            <w:r>
              <w:rPr>
                <w:rFonts w:ascii="Times New Roman" w:hAnsi="Times New Roman"/>
                <w:i/>
                <w:sz w:val="22"/>
              </w:rPr>
              <w:t>"Aquí lo vemos en una sola semana: el baseline deja un riesgo residual de cierto valor, el modelo lo deja menor, y el porcentaje de mejora confirma el patrón que luego se repite en las 30 réplicas. Lo importante es que ambos respetaron las mismas restricciones, así que la diferencia se debe únicamente al criterio de priorización más inteligente del modelo."</w:t>
            </w:r>
          </w:p>
        </w:tc>
      </w:tr>
    </w:tbl>
    <w:p/>
    <w:p>
      <w:pPr>
        <w:jc w:val="both"/>
      </w:pPr>
      <w:r>
        <w:rPr>
          <w:rFonts w:ascii="Times New Roman" w:hAnsi="Times New Roman"/>
          <w:b/>
          <w:color w:val="2E75B6"/>
          <w:sz w:val="22"/>
        </w:rPr>
        <w:t>→ Pasamos al dashboard de resultados.</w:t>
      </w:r>
    </w:p>
    <w:p>
      <w:r>
        <w:br w:type="page"/>
      </w:r>
    </w:p>
    <w:p>
      <w:pPr>
        <w:pStyle w:val="Heading1"/>
      </w:pPr>
      <w:r>
        <w:rPr>
          <w:rFonts w:ascii="Times New Roman" w:hAnsi="Times New Roman"/>
          <w:color w:val="1F3A5F"/>
        </w:rPr>
        <w:t>Paso 4 — Dashboard interactivo (anexo OE4)</w:t>
      </w:r>
    </w:p>
    <w:p>
      <w:pPr>
        <w:pStyle w:val="Heading2"/>
      </w:pPr>
      <w:r>
        <w:rPr>
          <w:rFonts w:ascii="Times New Roman" w:hAnsi="Times New Roman"/>
          <w:color w:val="2E75B6"/>
        </w:rPr>
        <w:t>4.1 Apertura del navegador</w:t>
      </w:r>
    </w:p>
    <w:tbl>
      <w:tblPr>
        <w:tblW w:type="auto" w:w="0"/>
        <w:tblLook w:firstColumn="1" w:firstRow="1" w:lastColumn="0" w:lastRow="0" w:noHBand="0" w:noVBand="1" w:val="04A0"/>
      </w:tblPr>
      <w:tblGrid>
        <w:gridCol w:w="8640"/>
      </w:tblGrid>
      <w:tr>
        <w:tc>
          <w:tcPr>
            <w:tcW w:type="dxa" w:w="8640"/>
            <w:shd w:val="clear" w:color="auto" w:fill="FFF1CC"/>
          </w:tcPr>
          <w:p>
            <w:r>
              <w:rPr>
                <w:rFonts w:ascii="Calibri" w:hAnsi="Calibri"/>
                <w:b/>
                <w:color w:val="C07010"/>
                <w:sz w:val="20"/>
              </w:rPr>
              <w:t xml:space="preserve">ACCIÓN: </w:t>
            </w:r>
            <w:r>
              <w:rPr>
                <w:rFonts w:ascii="Calibri" w:hAnsi="Calibri"/>
                <w:sz w:val="20"/>
              </w:rPr>
              <w:t>Cambia al navegador con dashboard_resultados.html ya cargado.</w:t>
            </w:r>
          </w:p>
        </w:tc>
      </w:tr>
      <w:tr>
        <w:tc>
          <w:tcPr>
            <w:tcW w:type="dxa" w:w="8640"/>
            <w:shd w:val="clear" w:color="auto" w:fill="EAF1F8"/>
          </w:tcPr>
          <w:p>
            <w:pPr>
              <w:jc w:val="both"/>
            </w:pPr>
            <w:r>
              <w:rPr>
                <w:rFonts w:ascii="Times New Roman" w:hAnsi="Times New Roman"/>
                <w:i/>
                <w:sz w:val="22"/>
              </w:rPr>
              <w:t>"Para complementar todo lo anterior generé este dashboard interactivo en HTML. Es autocontenido, no requiere instalación ni servidor: solo abrir el archivo en un navegador. Lo entrego como anexo del informe técnico para que el lector pueda explorar los resultados sin necesidad de correr código."</w:t>
            </w:r>
          </w:p>
        </w:tc>
      </w:tr>
    </w:tbl>
    <w:p/>
    <w:p>
      <w:pPr>
        <w:pStyle w:val="Heading2"/>
      </w:pPr>
      <w:r>
        <w:rPr>
          <w:rFonts w:ascii="Times New Roman" w:hAnsi="Times New Roman"/>
          <w:color w:val="2E75B6"/>
        </w:rPr>
        <w:t>4.2 Tarjetas de KPIs globales</w:t>
      </w:r>
    </w:p>
    <w:tbl>
      <w:tblPr>
        <w:tblW w:type="auto" w:w="0"/>
        <w:tblLook w:firstColumn="1" w:firstRow="1" w:lastColumn="0" w:lastRow="0" w:noHBand="0" w:noVBand="1" w:val="04A0"/>
      </w:tblPr>
      <w:tblGrid>
        <w:gridCol w:w="8640"/>
      </w:tblGrid>
      <w:tr>
        <w:tc>
          <w:tcPr>
            <w:tcW w:type="dxa" w:w="8640"/>
            <w:shd w:val="clear" w:color="auto" w:fill="FFF1CC"/>
          </w:tcPr>
          <w:p>
            <w:r>
              <w:rPr>
                <w:rFonts w:ascii="Calibri" w:hAnsi="Calibri"/>
                <w:b/>
                <w:color w:val="C07010"/>
                <w:sz w:val="20"/>
              </w:rPr>
              <w:t xml:space="preserve">ACCIÓN: </w:t>
            </w:r>
            <w:r>
              <w:rPr>
                <w:rFonts w:ascii="Calibri" w:hAnsi="Calibri"/>
                <w:sz w:val="20"/>
              </w:rPr>
              <w:t>Señala las cuatro tarjetas de la fila superior.</w:t>
            </w:r>
          </w:p>
        </w:tc>
      </w:tr>
      <w:tr>
        <w:tc>
          <w:tcPr>
            <w:tcW w:type="dxa" w:w="8640"/>
            <w:shd w:val="clear" w:color="auto" w:fill="EAF1F8"/>
          </w:tcPr>
          <w:p>
            <w:pPr>
              <w:jc w:val="both"/>
            </w:pPr>
            <w:r>
              <w:rPr>
                <w:rFonts w:ascii="Times New Roman" w:hAnsi="Times New Roman"/>
                <w:i/>
                <w:sz w:val="22"/>
              </w:rPr>
              <w:t>"En la parte de arriba tengo cuatro tarjetas con los KPIs globales del trabajo: la reducción media del riesgo residual frente al baseline —alrededor del 12 %—, el AUC del componente predictivo en 0,762, el cumplimiento del 100 % en ventanas de ejecución y, lo más importante para defender la corrección del optimizador, cero violaciones de repuestos en las 150 corridas."</w:t>
            </w:r>
          </w:p>
        </w:tc>
      </w:tr>
    </w:tbl>
    <w:p/>
    <w:p>
      <w:pPr>
        <w:pStyle w:val="Heading2"/>
      </w:pPr>
      <w:r>
        <w:rPr>
          <w:rFonts w:ascii="Times New Roman" w:hAnsi="Times New Roman"/>
          <w:color w:val="2E75B6"/>
        </w:rPr>
        <w:t>4.3 Riesgo residual por escenario</w:t>
      </w:r>
    </w:p>
    <w:tbl>
      <w:tblPr>
        <w:tblW w:type="auto" w:w="0"/>
        <w:tblLook w:firstColumn="1" w:firstRow="1" w:lastColumn="0" w:lastRow="0" w:noHBand="0" w:noVBand="1" w:val="04A0"/>
      </w:tblPr>
      <w:tblGrid>
        <w:gridCol w:w="8640"/>
      </w:tblGrid>
      <w:tr>
        <w:tc>
          <w:tcPr>
            <w:tcW w:type="dxa" w:w="8640"/>
            <w:shd w:val="clear" w:color="auto" w:fill="FFF1CC"/>
          </w:tcPr>
          <w:p>
            <w:r>
              <w:rPr>
                <w:rFonts w:ascii="Calibri" w:hAnsi="Calibri"/>
                <w:b/>
                <w:color w:val="C07010"/>
                <w:sz w:val="20"/>
              </w:rPr>
              <w:t xml:space="preserve">ACCIÓN: </w:t>
            </w:r>
            <w:r>
              <w:rPr>
                <w:rFonts w:ascii="Calibri" w:hAnsi="Calibri"/>
                <w:sz w:val="20"/>
              </w:rPr>
              <w:t>Desplázate a la sección 1 'Riesgo residual del backlog'. Señala las dos gráficas y la tabla.</w:t>
            </w:r>
          </w:p>
        </w:tc>
      </w:tr>
      <w:tr>
        <w:tc>
          <w:tcPr>
            <w:tcW w:type="dxa" w:w="8640"/>
            <w:shd w:val="clear" w:color="auto" w:fill="EAF1F8"/>
          </w:tcPr>
          <w:p>
            <w:pPr>
              <w:jc w:val="both"/>
            </w:pPr>
            <w:r>
              <w:rPr>
                <w:rFonts w:ascii="Times New Roman" w:hAnsi="Times New Roman"/>
                <w:i/>
                <w:sz w:val="22"/>
              </w:rPr>
              <w:t>"Esta es la sección central. A la izquierda veo las barras agrupadas: para cada uno de los cinco escenarios, las dos barras que comparan el riesgo residual del baseline —en rojo— frente al modelo —en azul oscuro—. La diferencia es visible a simple vista. A la derecha, el porcentaje de reducción que logra el modelo en cada escenario, con las barras verdes marcando los escenarios donde la reducción supera el 13 %. Y abajo, la tabla detallada con los intervalos de confianza al 95 % y la prueba t de Student pareada: en los cinco escenarios la diferencia es estadísticamente significativa con p menor a 0,001."</w:t>
            </w:r>
          </w:p>
        </w:tc>
      </w:tr>
    </w:tbl>
    <w:p/>
    <w:p>
      <w:pPr>
        <w:pStyle w:val="Heading2"/>
      </w:pPr>
      <w:r>
        <w:rPr>
          <w:rFonts w:ascii="Times New Roman" w:hAnsi="Times New Roman"/>
          <w:color w:val="2E75B6"/>
        </w:rPr>
        <w:t>4.4 KPIs operativos comparativos</w:t>
      </w:r>
    </w:p>
    <w:tbl>
      <w:tblPr>
        <w:tblW w:type="auto" w:w="0"/>
        <w:tblLook w:firstColumn="1" w:firstRow="1" w:lastColumn="0" w:lastRow="0" w:noHBand="0" w:noVBand="1" w:val="04A0"/>
      </w:tblPr>
      <w:tblGrid>
        <w:gridCol w:w="8640"/>
      </w:tblGrid>
      <w:tr>
        <w:tc>
          <w:tcPr>
            <w:tcW w:type="dxa" w:w="8640"/>
            <w:shd w:val="clear" w:color="auto" w:fill="FFF1CC"/>
          </w:tcPr>
          <w:p>
            <w:r>
              <w:rPr>
                <w:rFonts w:ascii="Calibri" w:hAnsi="Calibri"/>
                <w:b/>
                <w:color w:val="C07010"/>
                <w:sz w:val="20"/>
              </w:rPr>
              <w:t xml:space="preserve">ACCIÓN: </w:t>
            </w:r>
            <w:r>
              <w:rPr>
                <w:rFonts w:ascii="Calibri" w:hAnsi="Calibri"/>
                <w:sz w:val="20"/>
              </w:rPr>
              <w:t>Desplázate a la sección 2 con las cuatro gráficas.</w:t>
            </w:r>
          </w:p>
        </w:tc>
      </w:tr>
      <w:tr>
        <w:tc>
          <w:tcPr>
            <w:tcW w:type="dxa" w:w="8640"/>
            <w:shd w:val="clear" w:color="auto" w:fill="EAF1F8"/>
          </w:tcPr>
          <w:p>
            <w:pPr>
              <w:jc w:val="both"/>
            </w:pPr>
            <w:r>
              <w:rPr>
                <w:rFonts w:ascii="Times New Roman" w:hAnsi="Times New Roman"/>
                <w:i/>
                <w:sz w:val="22"/>
              </w:rPr>
              <w:t>"Aquí están los cuatro KPIs operativos complementarios: el porcentaje de WO críticas programadas —donde el modelo gana entre 1,9 y 5,3 puntos porcentuales—, la utilización total de horas-hombre —prácticamente igual entre ambos métodos, lo cual es deseable—, el lateness ponderado del backlog que mide la urgencia acumulada del trabajo no ejecutado —donde el modelo es consistentemente menor— y el cumplimiento de ventanas, que se mantiene en 100 % para ambos."</w:t>
            </w:r>
          </w:p>
        </w:tc>
      </w:tr>
    </w:tbl>
    <w:p/>
    <w:p>
      <w:pPr>
        <w:pStyle w:val="Heading2"/>
      </w:pPr>
      <w:r>
        <w:rPr>
          <w:rFonts w:ascii="Times New Roman" w:hAnsi="Times New Roman"/>
          <w:color w:val="2E75B6"/>
        </w:rPr>
        <w:t>4.5 Componente predictivo</w:t>
      </w:r>
    </w:p>
    <w:tbl>
      <w:tblPr>
        <w:tblW w:type="auto" w:w="0"/>
        <w:tblLook w:firstColumn="1" w:firstRow="1" w:lastColumn="0" w:lastRow="0" w:noHBand="0" w:noVBand="1" w:val="04A0"/>
      </w:tblPr>
      <w:tblGrid>
        <w:gridCol w:w="8640"/>
      </w:tblGrid>
      <w:tr>
        <w:tc>
          <w:tcPr>
            <w:tcW w:type="dxa" w:w="8640"/>
            <w:shd w:val="clear" w:color="auto" w:fill="FFF1CC"/>
          </w:tcPr>
          <w:p>
            <w:r>
              <w:rPr>
                <w:rFonts w:ascii="Calibri" w:hAnsi="Calibri"/>
                <w:b/>
                <w:color w:val="C07010"/>
                <w:sz w:val="20"/>
              </w:rPr>
              <w:t xml:space="preserve">ACCIÓN: </w:t>
            </w:r>
            <w:r>
              <w:rPr>
                <w:rFonts w:ascii="Calibri" w:hAnsi="Calibri"/>
                <w:sz w:val="20"/>
              </w:rPr>
              <w:t>Desplázate a la sección 3.</w:t>
            </w:r>
          </w:p>
        </w:tc>
      </w:tr>
      <w:tr>
        <w:tc>
          <w:tcPr>
            <w:tcW w:type="dxa" w:w="8640"/>
            <w:shd w:val="clear" w:color="auto" w:fill="EAF1F8"/>
          </w:tcPr>
          <w:p>
            <w:pPr>
              <w:jc w:val="both"/>
            </w:pPr>
            <w:r>
              <w:rPr>
                <w:rFonts w:ascii="Times New Roman" w:hAnsi="Times New Roman"/>
                <w:i/>
                <w:sz w:val="22"/>
              </w:rPr>
              <w:t>"Esta sección resume el desempeño del modelo predictivo: AUC, PR-AUC, Brier Score y el total de réplicas analizadas. Las desviaciones estándar entre escenarios son menores a 0,03, lo que demuestra que el modelo es estable y transferible entre condiciones operativas distintas."</w:t>
            </w:r>
          </w:p>
        </w:tc>
      </w:tr>
    </w:tbl>
    <w:p/>
    <w:p>
      <w:pPr>
        <w:pStyle w:val="Heading2"/>
      </w:pPr>
      <w:r>
        <w:rPr>
          <w:rFonts w:ascii="Times New Roman" w:hAnsi="Times New Roman"/>
          <w:color w:val="2E75B6"/>
        </w:rPr>
        <w:t>4.6 Lectura ejecutiva</w:t>
      </w:r>
    </w:p>
    <w:tbl>
      <w:tblPr>
        <w:tblW w:type="auto" w:w="0"/>
        <w:tblLook w:firstColumn="1" w:firstRow="1" w:lastColumn="0" w:lastRow="0" w:noHBand="0" w:noVBand="1" w:val="04A0"/>
      </w:tblPr>
      <w:tblGrid>
        <w:gridCol w:w="8640"/>
      </w:tblGrid>
      <w:tr>
        <w:tc>
          <w:tcPr>
            <w:tcW w:type="dxa" w:w="8640"/>
            <w:shd w:val="clear" w:color="auto" w:fill="FFF1CC"/>
          </w:tcPr>
          <w:p>
            <w:r>
              <w:rPr>
                <w:rFonts w:ascii="Calibri" w:hAnsi="Calibri"/>
                <w:b/>
                <w:color w:val="C07010"/>
                <w:sz w:val="20"/>
              </w:rPr>
              <w:t xml:space="preserve">ACCIÓN: </w:t>
            </w:r>
            <w:r>
              <w:rPr>
                <w:rFonts w:ascii="Calibri" w:hAnsi="Calibri"/>
                <w:sz w:val="20"/>
              </w:rPr>
              <w:t>Desplázate hasta la sección 4 al final.</w:t>
            </w:r>
          </w:p>
        </w:tc>
      </w:tr>
      <w:tr>
        <w:tc>
          <w:tcPr>
            <w:tcW w:type="dxa" w:w="8640"/>
            <w:shd w:val="clear" w:color="auto" w:fill="EAF1F8"/>
          </w:tcPr>
          <w:p>
            <w:pPr>
              <w:jc w:val="both"/>
            </w:pPr>
            <w:r>
              <w:rPr>
                <w:rFonts w:ascii="Times New Roman" w:hAnsi="Times New Roman"/>
                <w:i/>
                <w:sz w:val="22"/>
              </w:rPr>
              <w:t>"Para cerrar, el dashboard incluye una lectura ejecutiva auto-generada con los cinco hallazgos principales del trabajo, redactada en lenguaje claro para que cualquier lector no técnico pueda entender el aporte. Esto es especialmente útil para la rendición de cuentas a niveles gerenciales o de auditoría."</w:t>
            </w:r>
          </w:p>
        </w:tc>
      </w:tr>
    </w:tbl>
    <w:p/>
    <w:p>
      <w:pPr>
        <w:pStyle w:val="Heading2"/>
      </w:pPr>
      <w:r>
        <w:rPr>
          <w:rFonts w:ascii="Times New Roman" w:hAnsi="Times New Roman"/>
          <w:color w:val="2E75B6"/>
        </w:rPr>
        <w:t>4.7 Cierre de la demostración</w:t>
      </w:r>
    </w:p>
    <w:tbl>
      <w:tblPr>
        <w:tblW w:type="auto" w:w="0"/>
        <w:tblLook w:firstColumn="1" w:firstRow="1" w:lastColumn="0" w:lastRow="0" w:noHBand="0" w:noVBand="1" w:val="04A0"/>
      </w:tblPr>
      <w:tblGrid>
        <w:gridCol w:w="8640"/>
      </w:tblGrid>
      <w:tr>
        <w:tc>
          <w:tcPr>
            <w:tcW w:type="dxa" w:w="8640"/>
            <w:shd w:val="clear" w:color="auto" w:fill="FFF1CC"/>
          </w:tcPr>
          <w:p>
            <w:r>
              <w:rPr>
                <w:rFonts w:ascii="Calibri" w:hAnsi="Calibri"/>
                <w:b/>
                <w:color w:val="C07010"/>
                <w:sz w:val="20"/>
              </w:rPr>
              <w:t xml:space="preserve">ACCIÓN: </w:t>
            </w:r>
            <w:r>
              <w:rPr>
                <w:rFonts w:ascii="Calibri" w:hAnsi="Calibri"/>
                <w:sz w:val="20"/>
              </w:rPr>
              <w:t>Vuelve al editor o a la presentación.</w:t>
            </w:r>
          </w:p>
        </w:tc>
      </w:tr>
      <w:tr>
        <w:tc>
          <w:tcPr>
            <w:tcW w:type="dxa" w:w="8640"/>
            <w:shd w:val="clear" w:color="auto" w:fill="EAF1F8"/>
          </w:tcPr>
          <w:p>
            <w:pPr>
              <w:jc w:val="both"/>
            </w:pPr>
            <w:r>
              <w:rPr>
                <w:rFonts w:ascii="Times New Roman" w:hAnsi="Times New Roman"/>
                <w:i/>
                <w:sz w:val="22"/>
              </w:rPr>
              <w:t>"Hasta aquí la demostración del código. Lo que hemos visto cubre los tres objetivos específicos completados: el dataset reproducible —OE1—, el modelo predictivo calibrado —OE2— y el optimizador con restricciones —OE3—. El dashboard es el primer entregable del OE4, que cerraré en las próximas semanas con la sensibilidad de pesos del MCDA y la integración formal con el working paper. Profesor, quedo atento a cualquier comentario o pregunta."</w:t>
            </w:r>
          </w:p>
        </w:tc>
      </w:tr>
    </w:tbl>
    <w:p/>
    <w:p>
      <w:r>
        <w:br w:type="page"/>
      </w:r>
    </w:p>
    <w:p>
      <w:pPr>
        <w:pStyle w:val="Heading1"/>
      </w:pPr>
      <w:r>
        <w:rPr>
          <w:rFonts w:ascii="Times New Roman" w:hAnsi="Times New Roman"/>
          <w:color w:val="1F3A5F"/>
        </w:rPr>
        <w:t>Resumen — frases ancla para no perder el hilo</w:t>
      </w:r>
    </w:p>
    <w:p>
      <w:pPr>
        <w:jc w:val="both"/>
      </w:pPr>
      <w:r>
        <w:rPr>
          <w:rFonts w:ascii="Times New Roman" w:hAnsi="Times New Roman"/>
          <w:b w:val="0"/>
          <w:i w:val="0"/>
          <w:sz w:val="22"/>
        </w:rPr>
        <w:t>Si te bloqueas durante la grabación, estas son las frases-ancla que puedes usar para retomar el ritmo en cada sección. Cada una funciona como una transición segura.</w:t>
      </w:r>
    </w:p>
    <w:p>
      <w:pPr>
        <w:pStyle w:val="Heading2"/>
      </w:pPr>
      <w:r>
        <w:rPr>
          <w:rFonts w:ascii="Times New Roman" w:hAnsi="Times New Roman"/>
          <w:color w:val="2E75B6"/>
        </w:rPr>
        <w:t>Para abrir el módulo data_generator</w:t>
      </w:r>
    </w:p>
    <w:p>
      <w:pPr>
        <w:jc w:val="both"/>
      </w:pPr>
      <w:r>
        <w:rPr>
          <w:rFonts w:ascii="Times New Roman" w:hAnsi="Times New Roman"/>
          <w:b w:val="0"/>
          <w:i/>
          <w:sz w:val="22"/>
        </w:rPr>
        <w:t>Este módulo construye el dataset sintético reproducible que alimenta todo el pipeline.</w:t>
      </w:r>
    </w:p>
    <w:p>
      <w:pPr>
        <w:pStyle w:val="Heading2"/>
      </w:pPr>
      <w:r>
        <w:rPr>
          <w:rFonts w:ascii="Times New Roman" w:hAnsi="Times New Roman"/>
          <w:color w:val="2E75B6"/>
        </w:rPr>
        <w:t>Para explicar el logit que genera la variable objetivo</w:t>
      </w:r>
    </w:p>
    <w:p>
      <w:pPr>
        <w:jc w:val="both"/>
      </w:pPr>
      <w:r>
        <w:rPr>
          <w:rFonts w:ascii="Times New Roman" w:hAnsi="Times New Roman"/>
          <w:b w:val="0"/>
          <w:i/>
          <w:sz w:val="22"/>
        </w:rPr>
        <w:t>La probabilidad real de falla no es constante: la modelo como una función no lineal de las features, con ruido controlado, y luego muestreo Bernoulli para obtener la etiqueta binaria.</w:t>
      </w:r>
    </w:p>
    <w:p>
      <w:pPr>
        <w:pStyle w:val="Heading2"/>
      </w:pPr>
      <w:r>
        <w:rPr>
          <w:rFonts w:ascii="Times New Roman" w:hAnsi="Times New Roman"/>
          <w:color w:val="2E75B6"/>
        </w:rPr>
        <w:t>Para abrir el módulo model</w:t>
      </w:r>
    </w:p>
    <w:p>
      <w:pPr>
        <w:jc w:val="both"/>
      </w:pPr>
      <w:r>
        <w:rPr>
          <w:rFonts w:ascii="Times New Roman" w:hAnsi="Times New Roman"/>
          <w:b w:val="0"/>
          <w:i/>
          <w:sz w:val="22"/>
        </w:rPr>
        <w:t>Esta implementación es enteramente en numpy puro: garantiza portabilidad y permite defender el modelo desde cero, sin depender de scikit-learn como caja negra.</w:t>
      </w:r>
    </w:p>
    <w:p>
      <w:pPr>
        <w:pStyle w:val="Heading2"/>
      </w:pPr>
      <w:r>
        <w:rPr>
          <w:rFonts w:ascii="Times New Roman" w:hAnsi="Times New Roman"/>
          <w:color w:val="2E75B6"/>
        </w:rPr>
        <w:t>Para explicar la calibración isotónica</w:t>
      </w:r>
    </w:p>
    <w:p>
      <w:pPr>
        <w:jc w:val="both"/>
      </w:pPr>
      <w:r>
        <w:rPr>
          <w:rFonts w:ascii="Times New Roman" w:hAnsi="Times New Roman"/>
          <w:b w:val="0"/>
          <w:i/>
          <w:sz w:val="22"/>
        </w:rPr>
        <w:t>La regresión logística produce probabilidades, pero no necesariamente bien calibradas. PAV corrige ese sesgo aprendiendo una transformación monótona desde el score crudo hasta la frecuencia observada.</w:t>
      </w:r>
    </w:p>
    <w:p>
      <w:pPr>
        <w:pStyle w:val="Heading2"/>
      </w:pPr>
      <w:r>
        <w:rPr>
          <w:rFonts w:ascii="Times New Roman" w:hAnsi="Times New Roman"/>
          <w:color w:val="2E75B6"/>
        </w:rPr>
        <w:t>Para abrir el módulo optimizer</w:t>
      </w:r>
    </w:p>
    <w:p>
      <w:pPr>
        <w:jc w:val="both"/>
      </w:pPr>
      <w:r>
        <w:rPr>
          <w:rFonts w:ascii="Times New Roman" w:hAnsi="Times New Roman"/>
          <w:b w:val="0"/>
          <w:i/>
          <w:sz w:val="22"/>
        </w:rPr>
        <w:t>Este módulo formula el problema como un knapsack multi-restricción. Si PuLP está instalado uso CBC para óptimo exacto; si no, fallback automático a greedy más búsqueda local 2-swap.</w:t>
      </w:r>
    </w:p>
    <w:p>
      <w:pPr>
        <w:pStyle w:val="Heading2"/>
      </w:pPr>
      <w:r>
        <w:rPr>
          <w:rFonts w:ascii="Times New Roman" w:hAnsi="Times New Roman"/>
          <w:color w:val="2E75B6"/>
        </w:rPr>
        <w:t>Para presentar la comparación final con el baseline</w:t>
      </w:r>
    </w:p>
    <w:p>
      <w:pPr>
        <w:jc w:val="both"/>
      </w:pPr>
      <w:r>
        <w:rPr>
          <w:rFonts w:ascii="Times New Roman" w:hAnsi="Times New Roman"/>
          <w:b w:val="0"/>
          <w:i/>
          <w:sz w:val="22"/>
        </w:rPr>
        <w:t>Ambos métodos respetan las mismas restricciones operativas. Cualquier diferencia en los KPIs viene exclusivamente del criterio de priorización: el modelo decide con probabilidades calibradas y MCDA; el baseline, con prioridad nominal y fecha.</w:t>
      </w:r>
    </w:p>
    <w:p>
      <w:pPr>
        <w:pStyle w:val="Heading2"/>
      </w:pPr>
      <w:r>
        <w:rPr>
          <w:rFonts w:ascii="Times New Roman" w:hAnsi="Times New Roman"/>
          <w:color w:val="2E75B6"/>
        </w:rPr>
        <w:t>Para abrir el dashboard</w:t>
      </w:r>
    </w:p>
    <w:p>
      <w:pPr>
        <w:jc w:val="both"/>
      </w:pPr>
      <w:r>
        <w:rPr>
          <w:rFonts w:ascii="Times New Roman" w:hAnsi="Times New Roman"/>
          <w:b w:val="0"/>
          <w:i/>
          <w:sz w:val="22"/>
        </w:rPr>
        <w:t>Este dashboard es autocontenido: un solo archivo HTML que se abre en cualquier navegador, sin instalación ni servidor. Lo entrego como anexo del informe.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