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Guion de sustentación de avance</w:t>
      </w:r>
    </w:p>
    <w:p>
      <w:pPr>
        <w:jc w:val="center"/>
      </w:pPr>
      <w:r>
        <w:rPr>
          <w:i/>
          <w:sz w:val="26"/>
        </w:rPr>
        <w:t>Modelo predictivo–prescriptivo para priorizar el backlog del mantenimiento</w:t>
      </w:r>
    </w:p>
    <w:p>
      <w:pPr>
        <w:jc w:val="center"/>
      </w:pPr>
      <w:r>
        <w:br/>
        <w:t>Aníbal Antonio De Avila Rueda · Especialización en Automatización Industrial · UMB 2026</w:t>
      </w:r>
    </w:p>
    <w:p/>
    <w:p>
      <w:pPr>
        <w:pStyle w:val="Heading1"/>
      </w:pPr>
      <w:r>
        <w:rPr>
          <w:rFonts w:ascii="Times New Roman" w:hAnsi="Times New Roman"/>
          <w:color w:val="1F3A5F"/>
        </w:rPr>
        <w:t>Cómo usar este documento</w:t>
      </w:r>
    </w:p>
    <w:p>
      <w:pPr>
        <w:jc w:val="both"/>
      </w:pPr>
      <w:r>
        <w:rPr>
          <w:rFonts w:ascii="Times New Roman" w:hAnsi="Times New Roman"/>
          <w:b w:val="0"/>
          <w:i w:val="0"/>
          <w:sz w:val="22"/>
        </w:rPr>
        <w:t>Este guion está pensado para acompañar la grabación del video de avance del Trabajo de Grado. Contiene tres bloques:</w:t>
      </w:r>
    </w:p>
    <w:p>
      <w:pPr>
        <w:pStyle w:val="ListBullet"/>
        <w:jc w:val="both"/>
      </w:pPr>
      <w:r>
        <w:rPr>
          <w:rFonts w:ascii="Times New Roman" w:hAnsi="Times New Roman"/>
          <w:i w:val="0"/>
          <w:sz w:val="22"/>
        </w:rPr>
        <w:t>Bloque A — Guion narrado por slide. Lo que decir frente a cada diapositiva.</w:t>
      </w:r>
    </w:p>
    <w:p>
      <w:pPr>
        <w:pStyle w:val="ListBullet"/>
        <w:jc w:val="both"/>
      </w:pPr>
      <w:r>
        <w:rPr>
          <w:rFonts w:ascii="Times New Roman" w:hAnsi="Times New Roman"/>
          <w:i w:val="0"/>
          <w:sz w:val="22"/>
        </w:rPr>
        <w:t>Bloque B — Demostración en vivo del código. Pasos para mostrar el proyecto funcionando.</w:t>
      </w:r>
    </w:p>
    <w:p>
      <w:pPr>
        <w:pStyle w:val="ListBullet"/>
        <w:jc w:val="both"/>
      </w:pPr>
      <w:r>
        <w:rPr>
          <w:rFonts w:ascii="Times New Roman" w:hAnsi="Times New Roman"/>
          <w:i w:val="0"/>
          <w:sz w:val="22"/>
        </w:rPr>
        <w:t>Bloque C — Preguntas anticipadas. Respuestas listas si el docente pregunta algo técnico.</w:t>
      </w:r>
    </w:p>
    <w:p>
      <w:pPr>
        <w:jc w:val="both"/>
      </w:pPr>
      <w:r>
        <w:rPr>
          <w:rFonts w:ascii="Times New Roman" w:hAnsi="Times New Roman"/>
          <w:b w:val="0"/>
          <w:i w:val="0"/>
          <w:sz w:val="22"/>
        </w:rPr>
        <w:t>Tiempo total estimado de la grabación: 12–14 minutos. Antes de iniciar, abre simultáneamente: (1) la presentación en modo presentación, (2) el editor de código (VS Code o PyCharm) con el proyecto abierto en proyecto/, y (3) una terminal en la carpeta proyecto/ lista para ejecutar comandos.</w:t>
      </w:r>
    </w:p>
    <w:p>
      <w:r>
        <w:br w:type="page"/>
      </w:r>
    </w:p>
    <w:p>
      <w:pPr>
        <w:pStyle w:val="Heading1"/>
      </w:pPr>
      <w:r>
        <w:rPr>
          <w:rFonts w:ascii="Times New Roman" w:hAnsi="Times New Roman"/>
          <w:color w:val="1F3A5F"/>
        </w:rPr>
        <w:t>Bloque A — Guion narrado por slide</w:t>
      </w:r>
    </w:p>
    <w:p>
      <w:pPr>
        <w:pStyle w:val="Heading2"/>
      </w:pPr>
      <w:r>
        <w:rPr>
          <w:rFonts w:ascii="Times New Roman" w:hAnsi="Times New Roman"/>
          <w:color w:val="2E75B6"/>
        </w:rPr>
        <w:t>Slide 1 — Portada (≈ 30 s)</w:t>
      </w:r>
    </w:p>
    <w:tbl>
      <w:tblPr>
        <w:tblW w:type="auto" w:w="0"/>
        <w:jc w:val="center"/>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Buenos días/tardes, profesor. Mi nombre es Aníbal De Avila y voy a presentarle el avance de mi Trabajo de Grado, titulado “Modelo predictivo–prescriptivo para priorizar el backlog del mantenimiento, con MCDA y optimización ligera”. La dirección está a cargo del magíster Juan Carlos Amaya. En este video voy a mostrarle el contexto del problema, los objetivos planteados, la metodología y los resultados ya obtenidos para los dos primeros objetivos específicos, además de un avance del tercero.</w:t>
            </w:r>
          </w:p>
        </w:tc>
      </w:tr>
    </w:tbl>
    <w:p>
      <w:pPr>
        <w:pStyle w:val="Heading3"/>
      </w:pPr>
      <w:r>
        <w:rPr>
          <w:rFonts w:ascii="Times New Roman" w:hAnsi="Times New Roman"/>
          <w:color w:val="1F3A5F"/>
        </w:rPr>
        <w:t>Tip de grabación</w:t>
      </w:r>
    </w:p>
    <w:p>
      <w:pPr>
        <w:pStyle w:val="ListBullet"/>
        <w:jc w:val="both"/>
      </w:pPr>
      <w:r>
        <w:rPr>
          <w:rFonts w:ascii="Times New Roman" w:hAnsi="Times New Roman"/>
          <w:i w:val="0"/>
          <w:sz w:val="22"/>
        </w:rPr>
        <w:t>Saluda con tono natural; no leas literal — usa la caja como guía.</w:t>
      </w:r>
    </w:p>
    <w:p>
      <w:pPr>
        <w:pStyle w:val="Heading2"/>
      </w:pPr>
      <w:r>
        <w:rPr>
          <w:rFonts w:ascii="Times New Roman" w:hAnsi="Times New Roman"/>
          <w:color w:val="2E75B6"/>
        </w:rPr>
        <w:t>Slide 2 — Contexto y motivación (≈ 1 min)</w:t>
      </w:r>
    </w:p>
    <w:tbl>
      <w:tblPr>
        <w:tblW w:type="auto" w:w="0"/>
        <w:jc w:val="center"/>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El problema operativo es muy concreto: en una planta de proceso, cada semana se acumulan entre 20 y 100 órdenes de trabajo, pero las horas-hombre, las habilidades y los repuestos están limitados. La práctica habitual en los CMMS es priorizar por prioridad nominal o por fecha, pero esa regla no maximiza la reducción del riesgo. La brecha que identifica este trabajo es que los CMMS registran y filtran, pero no formulan la decisión: no conectan la predicción de fallas, la valoración multicriterio y la optimización con restricciones reales.</w:t>
            </w:r>
          </w:p>
        </w:tc>
      </w:tr>
    </w:tbl>
    <w:p>
      <w:pPr>
        <w:pStyle w:val="Heading2"/>
      </w:pPr>
      <w:r>
        <w:rPr>
          <w:rFonts w:ascii="Times New Roman" w:hAnsi="Times New Roman"/>
          <w:color w:val="2E75B6"/>
        </w:rPr>
        <w:t>Slide 3 — Problema y pregunta de investigación (≈ 1 min)</w:t>
      </w:r>
    </w:p>
    <w:tbl>
      <w:tblPr>
        <w:tblW w:type="auto" w:w="0"/>
        <w:jc w:val="center"/>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El problema, entonces, se resume en cuatro puntos: las reglas tradicionales no garantizan reducir riesgo, la probabilidad de falla rara vez se estima de forma calibrada, falta integración entre las tres etapas, y por eso no se puede defender con datos por qué una WO se programa antes que otra. La pregunta de investigación que articula el trabajo es —y la leo tal cual aparece—: ¿un modelo predictivo–prescriptivo, que predice la probabilidad de falla semanal y prescribe la selección de WO bajo restricciones, mejora la trazabilidad y reduce el riesgo residual del backlog frente a las reglas tradicionales por prioridad o fecha?</w:t>
            </w:r>
          </w:p>
        </w:tc>
      </w:tr>
    </w:tbl>
    <w:p>
      <w:pPr>
        <w:pStyle w:val="Heading2"/>
      </w:pPr>
      <w:r>
        <w:rPr>
          <w:rFonts w:ascii="Times New Roman" w:hAnsi="Times New Roman"/>
          <w:color w:val="2E75B6"/>
        </w:rPr>
        <w:t>Slide 4 — Justificación e impacto (≈ 50 s)</w:t>
      </w:r>
    </w:p>
    <w:tbl>
      <w:tblPr>
        <w:tblW w:type="auto" w:w="0"/>
        <w:jc w:val="center"/>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El trabajo se justifica por cuatro impactos claros. Económicamente, priorizar por riesgo permite reducir costos de indisponibilidad y evitar compras urgentes. Socialmente, mejora la cobertura de tareas con consecuencias HSE, lo cual reduce exposición a incidentes. Ambientalmente, anticipa intervenciones en activos con riesgo de fuga o emisión. Y como diferenciador, la solución es abierta y reproducible, con trazabilidad por cada WO y por cada restricción que activó o no su programación.</w:t>
            </w:r>
          </w:p>
        </w:tc>
      </w:tr>
    </w:tbl>
    <w:p>
      <w:pPr>
        <w:pStyle w:val="Heading2"/>
      </w:pPr>
      <w:r>
        <w:rPr>
          <w:rFonts w:ascii="Times New Roman" w:hAnsi="Times New Roman"/>
          <w:color w:val="2E75B6"/>
        </w:rPr>
        <w:t>Slide 5 — Objetivos (≈ 1 min)</w:t>
      </w:r>
    </w:p>
    <w:tbl>
      <w:tblPr>
        <w:tblW w:type="auto" w:w="0"/>
        <w:jc w:val="center"/>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El objetivo general es diseñar y evaluar un modelo predictivo–prescriptivo para la priorización de órdenes de trabajo, que maximice la reducción del riesgo bajo restricciones de capacidad, habilidades y disponibilidad de repuestos. De ahí se derivan cuatro objetivos específicos. Como verá en las etiquetas de estado, el OE1 (dataset reproducible) y el OE2 (modelo predictivo calibrado) ya están terminados. El OE3 (optimización con restricciones) está en construcción y le mostraré la formulación, y el OE4 (comparación con baseline y KPIs) está pendiente para la siguiente fase.</w:t>
            </w:r>
          </w:p>
        </w:tc>
      </w:tr>
    </w:tbl>
    <w:p>
      <w:pPr>
        <w:pStyle w:val="Heading2"/>
      </w:pPr>
      <w:r>
        <w:rPr>
          <w:rFonts w:ascii="Times New Roman" w:hAnsi="Times New Roman"/>
          <w:color w:val="2E75B6"/>
        </w:rPr>
        <w:t>Slide 6 — Marco teórico y referencial (≈ 1 min)</w:t>
      </w:r>
    </w:p>
    <w:tbl>
      <w:tblPr>
        <w:tblW w:type="auto" w:w="0"/>
        <w:jc w:val="center"/>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El marco teórico se apoya en cuatro pilares. El primero es la gestión de activos y riesgo, soportada por las normas ISO 55000, ISO 31000 y la guía IEC 31010. El segundo es el Mantenimiento Centrado en Confiabilidad o RCM, alineado con IEC 60300-3-11 y los datos estandarizados de ISO 14224. El tercero es la predicción y calibración, donde tomamos como referencia las revisiones de Lei y Carvalho y la calibración isotónica de Kull. Y el cuarto es el MCDA y la optimización, con base en Greco-Ehrgott-Figueira y Pinedo. La idea puente es: RCM dice qué importa, las ISO indican cómo medir y decidir, y ML/MCDA junto con scheduling traducen eso a una decisión operativa.</w:t>
            </w:r>
          </w:p>
        </w:tc>
      </w:tr>
    </w:tbl>
    <w:p>
      <w:pPr>
        <w:pStyle w:val="Heading2"/>
      </w:pPr>
      <w:r>
        <w:rPr>
          <w:rFonts w:ascii="Times New Roman" w:hAnsi="Times New Roman"/>
          <w:color w:val="2E75B6"/>
        </w:rPr>
        <w:t>Slide 7 — Metodología, 6 fases (≈ 1 min)</w:t>
      </w:r>
    </w:p>
    <w:tbl>
      <w:tblPr>
        <w:tblW w:type="auto" w:w="0"/>
        <w:jc w:val="center"/>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La metodología se estructuró formalmente en seis fases. F1 corresponde al diseño del experimento, donde se definen los escenarios y se construye el dataset sintético. F2 es el modelado predictivo: regresión logística con calibración isotónica. F3 es el modelado MCDA, con definición de pesos y análisis de sensibilidad. F4 es la optimización tipo knapsack multi-restricción. F5 es la evaluación con réplicas y comparación pareada. Y F6 es el análisis estadístico e interpretabilidad. En este avance están terminadas las dos primeras y en construcción las dos siguientes.</w:t>
            </w:r>
          </w:p>
        </w:tc>
      </w:tr>
    </w:tbl>
    <w:p>
      <w:pPr>
        <w:pStyle w:val="Heading2"/>
      </w:pPr>
      <w:r>
        <w:rPr>
          <w:rFonts w:ascii="Times New Roman" w:hAnsi="Times New Roman"/>
          <w:color w:val="2E75B6"/>
        </w:rPr>
        <w:t>Slide 8 — OE1: Dataset reproducible (≈ 1 min)</w:t>
      </w:r>
    </w:p>
    <w:tbl>
      <w:tblPr>
        <w:tblW w:type="auto" w:w="0"/>
        <w:jc w:val="center"/>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El primer objetivo se cumplió con el módulo data_generator.py, que genera 21 variables por orden de trabajo, todas documentadas en un diccionario formal alineado con ISO 14224. Cada réplica produce un backlog estocástico de entre 20 y 100 órdenes por semana, con semilla controlada. Trabajamos con 5 escenarios y 30 réplicas por escenario, lo que suma 150 corridas reproducibles. En las tarjetas de la derecha se ven los números clave: 21 variables, 5 por 30 corridas, y 20 a 100 WO por semana. Si quiere se lo demuestro en vivo ejecutando el módulo.</w:t>
            </w:r>
          </w:p>
        </w:tc>
      </w:tr>
    </w:tbl>
    <w:p>
      <w:pPr>
        <w:pStyle w:val="Heading3"/>
      </w:pPr>
      <w:r>
        <w:rPr>
          <w:rFonts w:ascii="Times New Roman" w:hAnsi="Times New Roman"/>
          <w:color w:val="1F3A5F"/>
        </w:rPr>
        <w:t>Acción opcional aquí</w:t>
      </w:r>
    </w:p>
    <w:p>
      <w:pPr>
        <w:pStyle w:val="ListBullet"/>
        <w:jc w:val="both"/>
      </w:pPr>
      <w:r>
        <w:rPr>
          <w:rFonts w:ascii="Times New Roman" w:hAnsi="Times New Roman"/>
          <w:i w:val="0"/>
          <w:sz w:val="22"/>
        </w:rPr>
        <w:t>Pausar el video y saltar a la terminal para correr la demo del Bloque B paso 1.</w:t>
      </w:r>
    </w:p>
    <w:p>
      <w:pPr>
        <w:pStyle w:val="Heading2"/>
      </w:pPr>
      <w:r>
        <w:rPr>
          <w:rFonts w:ascii="Times New Roman" w:hAnsi="Times New Roman"/>
          <w:color w:val="2E75B6"/>
        </w:rPr>
        <w:t>Slide 9 — OE2: Modelo predictivo (≈ 1 min)</w:t>
      </w:r>
    </w:p>
    <w:tbl>
      <w:tblPr>
        <w:tblW w:type="auto" w:w="0"/>
        <w:jc w:val="center"/>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El segundo objetivo se resolvió con un pipeline de cuatro etapas. La primera es el preprocesamiento, con one-hot encoding para variables categóricas y estandarización z-score para numéricas, dejando 14 features. La segunda etapa es la regresión logística con regularización L2 y balance de clases por ponderación inversa. La tercera etapa, que es el aporte distintivo, es la calibración isotónica con el algoritmo Pool Adjacent Violators sobre un fold independiente. Y la cuarta etapa entrega la probabilidad calibrada de falla en 7 días para cada WO. Las variables más explicativas, como muestran los chips inferiores, son uso acumulado, PM vencidos y criticidad — todas coherentes con RCM.</w:t>
            </w:r>
          </w:p>
        </w:tc>
      </w:tr>
    </w:tbl>
    <w:p>
      <w:pPr>
        <w:pStyle w:val="Heading2"/>
      </w:pPr>
      <w:r>
        <w:rPr>
          <w:rFonts w:ascii="Times New Roman" w:hAnsi="Times New Roman"/>
          <w:color w:val="2E75B6"/>
        </w:rPr>
        <w:t>Slide 10 — Resultados del modelo predictivo (≈ 1 min)</w:t>
      </w:r>
    </w:p>
    <w:tbl>
      <w:tblPr>
        <w:tblW w:type="auto" w:w="0"/>
        <w:jc w:val="center"/>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Estos son los resultados del componente predictivo, promediados sobre las 30 réplicas. El AUC de 0,762 supera el umbral conceptual de tres de cada cuatro casos clasificados correctamente. El PR-AUC de 0,785 confirma un buen equilibrio precision-recall en datasets desbalanceados. Y el Brier de 0,201 valida que la calibración produce probabilidades alineadas con las frecuencias observadas. Lo más relevante: la desviación estándar del AUC entre escenarios es menor a 0,03, lo que demuestra que el modelo es estable y transferible.</w:t>
            </w:r>
          </w:p>
        </w:tc>
      </w:tr>
    </w:tbl>
    <w:p>
      <w:pPr>
        <w:pStyle w:val="Heading2"/>
      </w:pPr>
      <w:r>
        <w:rPr>
          <w:rFonts w:ascii="Times New Roman" w:hAnsi="Times New Roman"/>
          <w:color w:val="2E75B6"/>
        </w:rPr>
        <w:t>Slide 11 — OE3: optimización en curso (≈ 1 min)</w:t>
      </w:r>
    </w:p>
    <w:tbl>
      <w:tblPr>
        <w:tblW w:type="auto" w:w="0"/>
        <w:jc w:val="center"/>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Para el tercer objetivo, ya tengo formulado el problema. La función objetivo es maximizar la suma del riesgo programado, donde el riesgo se calcula como una combinación lineal de probabilidad calibrada, severidad y costo. Las restricciones son tres: la suma de duraciones por las variables binarias debe ser menor o igual a las horas totales; lo mismo para cada habilidad; y la suma de WO seleccionadas que requieren un repuesto debe ser menor o igual al stock. Adicionalmente, fijo en cero las variables de WO cuyo repuesto no está disponible. En las próximas semanas voy a resolverlo con PuLP y CBC, ejecutar el análisis de sensibilidad del MCDA, comparar contra el baseline y reportar los KPIs.</w:t>
            </w:r>
          </w:p>
        </w:tc>
      </w:tr>
    </w:tbl>
    <w:p>
      <w:pPr>
        <w:pStyle w:val="Heading2"/>
      </w:pPr>
      <w:r>
        <w:rPr>
          <w:rFonts w:ascii="Times New Roman" w:hAnsi="Times New Roman"/>
          <w:color w:val="2E75B6"/>
        </w:rPr>
        <w:t>Slide 12 — Referencias bibliográficas (≈ 30 s)</w:t>
      </w:r>
    </w:p>
    <w:tbl>
      <w:tblPr>
        <w:tblW w:type="auto" w:w="0"/>
        <w:jc w:val="center"/>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Estas son las referencias clave del avance: cinco normas (ISO 14224, ISO 31000, ISO 55002, IEC 31010, IEC 60300-3-11), los textos de referencia de Pinedo y Greco-Ehrgott-Figueira, y publicaciones recientes en mantenimiento predictivo y digital twin. Profesor, hasta aquí la presentación. Quedo atento a sus comentarios y preguntas.</w:t>
            </w:r>
          </w:p>
        </w:tc>
      </w:tr>
    </w:tbl>
    <w:p>
      <w:pPr>
        <w:pStyle w:val="Heading3"/>
      </w:pPr>
      <w:r>
        <w:rPr>
          <w:rFonts w:ascii="Times New Roman" w:hAnsi="Times New Roman"/>
          <w:color w:val="1F3A5F"/>
        </w:rPr>
        <w:t>Cierre sugerido</w:t>
      </w:r>
    </w:p>
    <w:p>
      <w:pPr>
        <w:pStyle w:val="ListBullet"/>
        <w:jc w:val="both"/>
      </w:pPr>
      <w:r>
        <w:rPr>
          <w:rFonts w:ascii="Times New Roman" w:hAnsi="Times New Roman"/>
          <w:i w:val="0"/>
          <w:sz w:val="22"/>
        </w:rPr>
        <w:t>“Profesor, muchas gracias por su atención. Pasamos a preguntas o continuo con la demo del código.”</w:t>
      </w:r>
    </w:p>
    <w:p>
      <w:r>
        <w:br w:type="page"/>
      </w:r>
    </w:p>
    <w:p>
      <w:pPr>
        <w:pStyle w:val="Heading1"/>
      </w:pPr>
      <w:r>
        <w:rPr>
          <w:rFonts w:ascii="Times New Roman" w:hAnsi="Times New Roman"/>
          <w:color w:val="1F3A5F"/>
        </w:rPr>
        <w:t>Bloque B — Demostración en vivo del código</w:t>
      </w:r>
    </w:p>
    <w:p>
      <w:pPr>
        <w:jc w:val="both"/>
      </w:pPr>
      <w:r>
        <w:rPr>
          <w:rFonts w:ascii="Times New Roman" w:hAnsi="Times New Roman"/>
          <w:b w:val="0"/>
          <w:i w:val="0"/>
          <w:sz w:val="22"/>
        </w:rPr>
        <w:t>Esta sección guía la demostración técnica que se puede grabar inmediatamente después de la presentación, o intercalada entre slides cuando convenga (especialmente entre las slides 8 y 9, donde se muestra OE1 y OE2). El objetivo es que el docente vea el proyecto funcionando, no solo en diapositivas. Antes de empezar, abre una terminal posicionada en la carpeta:</w:t>
      </w:r>
    </w:p>
    <w:p>
      <w:r>
        <w:rPr>
          <w:rFonts w:ascii="Times New Roman" w:hAnsi="Times New Roman"/>
          <w:i/>
          <w:color w:val="C07010"/>
          <w:sz w:val="20"/>
        </w:rPr>
        <w:t xml:space="preserve">  Ajusta la ruta según tu sistema operativo</w:t>
      </w:r>
    </w:p>
    <w:tbl>
      <w:tblPr>
        <w:tblW w:type="auto" w:w="0"/>
        <w:tblLook w:firstColumn="1" w:firstRow="1" w:lastColumn="0" w:lastRow="0" w:noHBand="0" w:noVBand="1" w:val="04A0"/>
      </w:tblPr>
      <w:tblGrid>
        <w:gridCol w:w="8640"/>
      </w:tblGrid>
      <w:tr>
        <w:tc>
          <w:tcPr>
            <w:tcW w:type="dxa" w:w="8640"/>
            <w:shd w:val="clear" w:color="auto" w:fill="1E2761"/>
          </w:tcPr>
          <w:p>
            <w:r>
              <w:rPr>
                <w:rFonts w:ascii="Consolas" w:hAnsi="Consolas"/>
                <w:color w:val="FFFFFF"/>
                <w:sz w:val="20"/>
              </w:rPr>
              <w:t>cd ~/Documents/Claude/Projects/Trabajo\ de\ Grado/proyecto</w:t>
            </w:r>
          </w:p>
        </w:tc>
      </w:tr>
    </w:tbl>
    <w:p>
      <w:pPr>
        <w:pStyle w:val="Heading2"/>
      </w:pPr>
      <w:r>
        <w:rPr>
          <w:rFonts w:ascii="Times New Roman" w:hAnsi="Times New Roman"/>
          <w:color w:val="2E75B6"/>
        </w:rPr>
        <w:t>Paso 1 — Mostrar el generador de datos (OE1)</w:t>
      </w:r>
    </w:p>
    <w:p>
      <w:pPr>
        <w:jc w:val="both"/>
      </w:pPr>
      <w:r>
        <w:rPr>
          <w:rFonts w:ascii="Times New Roman" w:hAnsi="Times New Roman"/>
          <w:b w:val="0"/>
          <w:i w:val="0"/>
          <w:sz w:val="22"/>
        </w:rPr>
        <w:t>Abre el archivo src/data_generator.py en el editor. Mientras se ve en pantalla, explica:</w:t>
      </w:r>
    </w:p>
    <w:p>
      <w:pPr>
        <w:pStyle w:val="ListBullet"/>
        <w:jc w:val="both"/>
      </w:pPr>
      <w:r>
        <w:rPr>
          <w:rFonts w:ascii="Times New Roman" w:hAnsi="Times New Roman"/>
          <w:i w:val="0"/>
          <w:sz w:val="22"/>
        </w:rPr>
        <w:t>Que cada llamada a generar_backlog_semanal() produce un DataFrame con N órdenes (20 ≤ N ≤ 100), con semilla controlada.</w:t>
      </w:r>
    </w:p>
    <w:p>
      <w:pPr>
        <w:pStyle w:val="ListBullet"/>
        <w:jc w:val="both"/>
      </w:pPr>
      <w:r>
        <w:rPr>
          <w:rFonts w:ascii="Times New Roman" w:hAnsi="Times New Roman"/>
          <w:i w:val="0"/>
          <w:sz w:val="22"/>
        </w:rPr>
        <w:t>Que la variable objetivo falla_7d se construye con un logit no lineal sobre las features (criticidad, PM vencidos, severidad, etc.) y luego se muestrea con Bernoulli — eso garantiza una relación señal-ruido controlada.</w:t>
      </w:r>
    </w:p>
    <w:p>
      <w:pPr>
        <w:pStyle w:val="ListBullet"/>
        <w:jc w:val="both"/>
      </w:pPr>
      <w:r>
        <w:rPr>
          <w:rFonts w:ascii="Times New Roman" w:hAnsi="Times New Roman"/>
          <w:i w:val="0"/>
          <w:sz w:val="22"/>
        </w:rPr>
        <w:t>Que el módulo expone también la función diccionario_datos(), que se usa para exportar el anexo formal.</w:t>
      </w:r>
    </w:p>
    <w:p>
      <w:pPr>
        <w:jc w:val="both"/>
      </w:pPr>
      <w:r>
        <w:rPr>
          <w:rFonts w:ascii="Times New Roman" w:hAnsi="Times New Roman"/>
          <w:b w:val="0"/>
          <w:i w:val="0"/>
          <w:sz w:val="22"/>
        </w:rPr>
        <w:t>Ejecuta en la terminal:</w:t>
      </w:r>
    </w:p>
    <w:p>
      <w:r>
        <w:rPr>
          <w:rFonts w:ascii="Times New Roman" w:hAnsi="Times New Roman"/>
          <w:i/>
          <w:color w:val="C07010"/>
          <w:sz w:val="20"/>
        </w:rPr>
        <w:t xml:space="preserve">  Genera un backlog reproducible y muestra las primeras filas</w:t>
      </w:r>
    </w:p>
    <w:tbl>
      <w:tblPr>
        <w:tblW w:type="auto" w:w="0"/>
        <w:tblLook w:firstColumn="1" w:firstRow="1" w:lastColumn="0" w:lastRow="0" w:noHBand="0" w:noVBand="1" w:val="04A0"/>
      </w:tblPr>
      <w:tblGrid>
        <w:gridCol w:w="8640"/>
      </w:tblGrid>
      <w:tr>
        <w:tc>
          <w:tcPr>
            <w:tcW w:type="dxa" w:w="8640"/>
            <w:shd w:val="clear" w:color="auto" w:fill="1E2761"/>
          </w:tcPr>
          <w:p>
            <w:r>
              <w:rPr>
                <w:rFonts w:ascii="Consolas" w:hAnsi="Consolas"/>
                <w:color w:val="FFFFFF"/>
                <w:sz w:val="20"/>
              </w:rPr>
              <w:t>python -c "</w:t>
            </w:r>
          </w:p>
          <w:p>
            <w:r>
              <w:rPr>
                <w:rFonts w:ascii="Consolas" w:hAnsi="Consolas"/>
                <w:color w:val="FFFFFF"/>
                <w:sz w:val="20"/>
              </w:rPr>
              <w:t>from src.data_generator import generar_backlog_semanal, ConfigEscenario</w:t>
            </w:r>
          </w:p>
          <w:p>
            <w:r>
              <w:rPr>
                <w:rFonts w:ascii="Consolas" w:hAnsi="Consolas"/>
                <w:color w:val="FFFFFF"/>
                <w:sz w:val="20"/>
              </w:rPr>
              <w:t>df = generar_backlog_semanal(semana=1, config=ConfigEscenario(), seed=42)</w:t>
            </w:r>
          </w:p>
          <w:p>
            <w:r>
              <w:rPr>
                <w:rFonts w:ascii="Consolas" w:hAnsi="Consolas"/>
                <w:color w:val="FFFFFF"/>
                <w:sz w:val="20"/>
              </w:rPr>
              <w:t>print('Backlog generado:', len(df), 'WO')</w:t>
            </w:r>
          </w:p>
          <w:p>
            <w:r>
              <w:rPr>
                <w:rFonts w:ascii="Consolas" w:hAnsi="Consolas"/>
                <w:color w:val="FFFFFF"/>
                <w:sz w:val="20"/>
              </w:rPr>
              <w:t>print(df[['wo_id','criticidad','sev_seguridad','pm_vencidos','duracion_h','falla_7d']].head(8))</w:t>
            </w:r>
          </w:p>
          <w:p>
            <w:r>
              <w:rPr>
                <w:rFonts w:ascii="Consolas" w:hAnsi="Consolas"/>
                <w:color w:val="FFFFFF"/>
                <w:sz w:val="20"/>
              </w:rPr>
              <w:t>print('Tasa de falla:', round(df['falla_7d'].mean(), 3))</w:t>
            </w:r>
          </w:p>
          <w:p>
            <w:r>
              <w:rPr>
                <w:rFonts w:ascii="Consolas" w:hAnsi="Consolas"/>
                <w:color w:val="FFFFFF"/>
                <w:sz w:val="20"/>
              </w:rPr>
              <w:t xml:space="preserve">" </w:t>
            </w:r>
          </w:p>
        </w:tc>
      </w:tr>
    </w:tbl>
    <w:tbl>
      <w:tblPr>
        <w:tblW w:type="auto" w:w="0"/>
        <w:jc w:val="center"/>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“Como ven, el script genera un backlog de 81 órdenes en pocos milisegundos. La columna falla_7d marca cuáles tienen alta probabilidad de fallar la próxima semana — esa es la variable objetivo que el modelo intentará predecir.”</w:t>
            </w:r>
          </w:p>
        </w:tc>
      </w:tr>
    </w:tbl>
    <w:p>
      <w:pPr>
        <w:pStyle w:val="Heading2"/>
      </w:pPr>
      <w:r>
        <w:rPr>
          <w:rFonts w:ascii="Times New Roman" w:hAnsi="Times New Roman"/>
          <w:color w:val="2E75B6"/>
        </w:rPr>
        <w:t>Paso 2 — Entrenar y calibrar el modelo (OE2)</w:t>
      </w:r>
    </w:p>
    <w:p>
      <w:pPr>
        <w:jc w:val="both"/>
      </w:pPr>
      <w:r>
        <w:rPr>
          <w:rFonts w:ascii="Times New Roman" w:hAnsi="Times New Roman"/>
          <w:b w:val="0"/>
          <w:i w:val="0"/>
          <w:sz w:val="22"/>
        </w:rPr>
        <w:t>Abre src/model.py. Mientras se ve en pantalla, explica las tres clases principales:</w:t>
      </w:r>
    </w:p>
    <w:p>
      <w:pPr>
        <w:pStyle w:val="ListBullet"/>
        <w:jc w:val="both"/>
      </w:pPr>
      <w:r>
        <w:rPr>
          <w:rFonts w:ascii="Times New Roman" w:hAnsi="Times New Roman"/>
          <w:i w:val="0"/>
          <w:sz w:val="22"/>
        </w:rPr>
        <w:t>Preprocesador: hace one-hot y z-score, sin sklearn.</w:t>
      </w:r>
    </w:p>
    <w:p>
      <w:pPr>
        <w:pStyle w:val="ListBullet"/>
        <w:jc w:val="both"/>
      </w:pPr>
      <w:r>
        <w:rPr>
          <w:rFonts w:ascii="Times New Roman" w:hAnsi="Times New Roman"/>
          <w:i w:val="0"/>
          <w:sz w:val="22"/>
        </w:rPr>
        <w:t>RegresionLogistica: descenso de gradiente con regularización L2 y balance de clases.</w:t>
      </w:r>
    </w:p>
    <w:p>
      <w:pPr>
        <w:pStyle w:val="ListBullet"/>
        <w:jc w:val="both"/>
      </w:pPr>
      <w:r>
        <w:rPr>
          <w:rFonts w:ascii="Times New Roman" w:hAnsi="Times New Roman"/>
          <w:i w:val="0"/>
          <w:sz w:val="22"/>
        </w:rPr>
        <w:t>CalibradorIsotonico: implementa Pool Adjacent Violators sobre un fold independiente.</w:t>
      </w:r>
    </w:p>
    <w:p>
      <w:pPr>
        <w:jc w:val="both"/>
      </w:pPr>
      <w:r>
        <w:rPr>
          <w:rFonts w:ascii="Times New Roman" w:hAnsi="Times New Roman"/>
          <w:b w:val="0"/>
          <w:i w:val="0"/>
          <w:sz w:val="22"/>
        </w:rPr>
        <w:t>Ejecuta en la terminal:</w:t>
      </w:r>
    </w:p>
    <w:p>
      <w:r>
        <w:rPr>
          <w:rFonts w:ascii="Times New Roman" w:hAnsi="Times New Roman"/>
          <w:i/>
          <w:color w:val="C07010"/>
          <w:sz w:val="20"/>
        </w:rPr>
        <w:t xml:space="preserve">  Entrena, calibra y reporta AUC, PR-AUC y Brier</w:t>
      </w:r>
    </w:p>
    <w:tbl>
      <w:tblPr>
        <w:tblW w:type="auto" w:w="0"/>
        <w:tblLook w:firstColumn="1" w:firstRow="1" w:lastColumn="0" w:lastRow="0" w:noHBand="0" w:noVBand="1" w:val="04A0"/>
      </w:tblPr>
      <w:tblGrid>
        <w:gridCol w:w="8640"/>
      </w:tblGrid>
      <w:tr>
        <w:tc>
          <w:tcPr>
            <w:tcW w:type="dxa" w:w="8640"/>
            <w:shd w:val="clear" w:color="auto" w:fill="1E2761"/>
          </w:tcPr>
          <w:p>
            <w:r>
              <w:rPr>
                <w:rFonts w:ascii="Consolas" w:hAnsi="Consolas"/>
                <w:color w:val="FFFFFF"/>
                <w:sz w:val="20"/>
              </w:rPr>
              <w:t>python -c "</w:t>
            </w:r>
          </w:p>
          <w:p>
            <w:r>
              <w:rPr>
                <w:rFonts w:ascii="Consolas" w:hAnsi="Consolas"/>
                <w:color w:val="FFFFFF"/>
                <w:sz w:val="20"/>
              </w:rPr>
              <w:t>import pandas as pd</w:t>
            </w:r>
          </w:p>
          <w:p>
            <w:r>
              <w:rPr>
                <w:rFonts w:ascii="Consolas" w:hAnsi="Consolas"/>
                <w:color w:val="FFFFFF"/>
                <w:sz w:val="20"/>
              </w:rPr>
              <w:t>from src.data_generator import ConfigEscenario, generar_backlog_semanal</w:t>
            </w:r>
          </w:p>
          <w:p>
            <w:r>
              <w:rPr>
                <w:rFonts w:ascii="Consolas" w:hAnsi="Consolas"/>
                <w:color w:val="FFFFFF"/>
                <w:sz w:val="20"/>
              </w:rPr>
              <w:t>from src.model import entrenar_modelo, importancia_variables</w:t>
            </w:r>
          </w:p>
          <w:p>
            <w:r>
              <w:rPr>
                <w:rFonts w:ascii="Consolas" w:hAnsi="Consolas"/>
                <w:color w:val="FFFFFF"/>
                <w:sz w:val="20"/>
              </w:rPr>
            </w:r>
            <w:r>
              <w:rPr>
                <w:rFonts w:ascii="Consolas" w:hAnsi="Consolas"/>
                <w:color w:val="FFFFFF"/>
                <w:sz w:val="20"/>
              </w:rPr>
              <w:t>cfg = ConfigEscenario()</w:t>
            </w:r>
          </w:p>
          <w:p>
            <w:r>
              <w:rPr>
                <w:rFonts w:ascii="Consolas" w:hAnsi="Consolas"/>
                <w:color w:val="FFFFFF"/>
                <w:sz w:val="20"/>
              </w:rPr>
              <w:t>df_train = pd.concat(</w:t>
            </w:r>
          </w:p>
          <w:p>
            <w:r>
              <w:rPr>
                <w:rFonts w:ascii="Consolas" w:hAnsi="Consolas"/>
                <w:color w:val="FFFFFF"/>
                <w:sz w:val="20"/>
              </w:rPr>
              <w:t xml:space="preserve">    [generar_backlog_semanal(s, cfg, seed=7) for s in range(1, 21)],</w:t>
            </w:r>
          </w:p>
          <w:p>
            <w:r>
              <w:rPr>
                <w:rFonts w:ascii="Consolas" w:hAnsi="Consolas"/>
                <w:color w:val="FFFFFF"/>
                <w:sz w:val="20"/>
              </w:rPr>
              <w:t xml:space="preserve">    ignore_index=True</w:t>
            </w:r>
          </w:p>
          <w:p>
            <w:r>
              <w:rPr>
                <w:rFonts w:ascii="Consolas" w:hAnsi="Consolas"/>
                <w:color w:val="FFFFFF"/>
                <w:sz w:val="20"/>
              </w:rPr>
              <w:t>)</w:t>
            </w:r>
          </w:p>
          <w:p>
            <w:r>
              <w:rPr>
                <w:rFonts w:ascii="Consolas" w:hAnsi="Consolas"/>
                <w:color w:val="FFFFFF"/>
                <w:sz w:val="20"/>
              </w:rPr>
              <w:t>print('Filas de entrenamiento:', len(df_train))</w:t>
            </w:r>
          </w:p>
          <w:p>
            <w:r>
              <w:rPr>
                <w:rFonts w:ascii="Consolas" w:hAnsi="Consolas"/>
                <w:color w:val="FFFFFF"/>
                <w:sz w:val="20"/>
              </w:rPr>
              <w:t>modelo, met = entrenar_modelo(df_train)</w:t>
            </w:r>
          </w:p>
          <w:p>
            <w:r>
              <w:rPr>
                <w:rFonts w:ascii="Consolas" w:hAnsi="Consolas"/>
                <w:color w:val="FFFFFF"/>
                <w:sz w:val="20"/>
              </w:rPr>
              <w:t>print('Métricas:', met.como_dict())</w:t>
            </w:r>
          </w:p>
          <w:p>
            <w:r>
              <w:rPr>
                <w:rFonts w:ascii="Consolas" w:hAnsi="Consolas"/>
                <w:color w:val="FFFFFF"/>
                <w:sz w:val="20"/>
              </w:rPr>
              <w:t>print()</w:t>
            </w:r>
          </w:p>
          <w:p>
            <w:r>
              <w:rPr>
                <w:rFonts w:ascii="Consolas" w:hAnsi="Consolas"/>
                <w:color w:val="FFFFFF"/>
                <w:sz w:val="20"/>
              </w:rPr>
              <w:t>print(importancia_variables(modelo).head(8))</w:t>
            </w:r>
          </w:p>
          <w:p>
            <w:r>
              <w:rPr>
                <w:rFonts w:ascii="Consolas" w:hAnsi="Consolas"/>
                <w:color w:val="FFFFFF"/>
                <w:sz w:val="20"/>
              </w:rPr>
              <w:t xml:space="preserve">" </w:t>
            </w:r>
          </w:p>
        </w:tc>
      </w:tr>
    </w:tbl>
    <w:tbl>
      <w:tblPr>
        <w:tblW w:type="auto" w:w="0"/>
        <w:jc w:val="center"/>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“El AUC obtenido en este corrida es alrededor de 0,77 y el Brier de 0,20, consistente con los promedios reportados en la slide. Las variables que el modelo encontró más explicativas son uso acumulado, PM vencidos y criticidad — exactamente lo que esperaríamos desde la teoría RCM.”</w:t>
            </w:r>
          </w:p>
        </w:tc>
      </w:tr>
    </w:tbl>
    <w:p>
      <w:pPr>
        <w:pStyle w:val="Heading2"/>
      </w:pPr>
      <w:r>
        <w:rPr>
          <w:rFonts w:ascii="Times New Roman" w:hAnsi="Times New Roman"/>
          <w:color w:val="2E75B6"/>
        </w:rPr>
        <w:t>Paso 3 — Adelanto del optimizador (OE3 en construcción)</w:t>
      </w:r>
    </w:p>
    <w:p>
      <w:pPr>
        <w:jc w:val="both"/>
      </w:pPr>
      <w:r>
        <w:rPr>
          <w:rFonts w:ascii="Times New Roman" w:hAnsi="Times New Roman"/>
          <w:b w:val="0"/>
          <w:i w:val="0"/>
          <w:sz w:val="22"/>
        </w:rPr>
        <w:t>Abre src/optimizer.py. Aclara que esta etapa está en construcción y que la idea es que la función objetivo y las restricciones ya están formuladas, pero falta acoplarlas al pipeline completo y compararlas contra el baseline.</w:t>
      </w:r>
    </w:p>
    <w:p>
      <w:pPr>
        <w:pStyle w:val="ListBullet"/>
        <w:jc w:val="both"/>
      </w:pPr>
      <w:r>
        <w:rPr>
          <w:rFonts w:ascii="Times New Roman" w:hAnsi="Times New Roman"/>
          <w:i w:val="0"/>
          <w:sz w:val="22"/>
        </w:rPr>
        <w:t>Muestra la función _solver_pulp() y explica las tres familias de restricciones.</w:t>
      </w:r>
    </w:p>
    <w:p>
      <w:pPr>
        <w:pStyle w:val="ListBullet"/>
        <w:jc w:val="both"/>
      </w:pPr>
      <w:r>
        <w:rPr>
          <w:rFonts w:ascii="Times New Roman" w:hAnsi="Times New Roman"/>
          <w:i w:val="0"/>
          <w:sz w:val="22"/>
        </w:rPr>
        <w:t>Si tienes PuLP instalado, ejecuta una corrida demostrativa.</w:t>
      </w:r>
    </w:p>
    <w:p>
      <w:pPr>
        <w:jc w:val="both"/>
      </w:pPr>
      <w:r>
        <w:rPr>
          <w:rFonts w:ascii="Times New Roman" w:hAnsi="Times New Roman"/>
          <w:b w:val="0"/>
          <w:i w:val="0"/>
          <w:sz w:val="22"/>
        </w:rPr>
        <w:t>Ejecuta (opcional, si quieres mostrar adelanto funcional):</w:t>
      </w:r>
    </w:p>
    <w:p>
      <w:r>
        <w:rPr>
          <w:rFonts w:ascii="Times New Roman" w:hAnsi="Times New Roman"/>
          <w:i/>
          <w:color w:val="C07010"/>
          <w:sz w:val="20"/>
        </w:rPr>
        <w:t xml:space="preserve">  Adelanto funcional — solo mostrar si tienes PuLP instalado</w:t>
      </w:r>
    </w:p>
    <w:tbl>
      <w:tblPr>
        <w:tblW w:type="auto" w:w="0"/>
        <w:tblLook w:firstColumn="1" w:firstRow="1" w:lastColumn="0" w:lastRow="0" w:noHBand="0" w:noVBand="1" w:val="04A0"/>
      </w:tblPr>
      <w:tblGrid>
        <w:gridCol w:w="8640"/>
      </w:tblGrid>
      <w:tr>
        <w:tc>
          <w:tcPr>
            <w:tcW w:type="dxa" w:w="8640"/>
            <w:shd w:val="clear" w:color="auto" w:fill="1E2761"/>
          </w:tcPr>
          <w:p>
            <w:r>
              <w:rPr>
                <w:rFonts w:ascii="Consolas" w:hAnsi="Consolas"/>
                <w:color w:val="FFFFFF"/>
                <w:sz w:val="20"/>
              </w:rPr>
              <w:t>python -c "</w:t>
            </w:r>
          </w:p>
          <w:p>
            <w:r>
              <w:rPr>
                <w:rFonts w:ascii="Consolas" w:hAnsi="Consolas"/>
                <w:color w:val="FFFFFF"/>
                <w:sz w:val="20"/>
              </w:rPr>
              <w:t>from src.data_generator import ConfigEscenario, generar_backlog_semanal</w:t>
            </w:r>
          </w:p>
          <w:p>
            <w:r>
              <w:rPr>
                <w:rFonts w:ascii="Consolas" w:hAnsi="Consolas"/>
                <w:color w:val="FFFFFF"/>
                <w:sz w:val="20"/>
              </w:rPr>
              <w:t>from src.model import entrenar_modelo</w:t>
            </w:r>
          </w:p>
          <w:p>
            <w:r>
              <w:rPr>
                <w:rFonts w:ascii="Consolas" w:hAnsi="Consolas"/>
                <w:color w:val="FFFFFF"/>
                <w:sz w:val="20"/>
              </w:rPr>
              <w:t>from src.mcda import calcular_riesgo</w:t>
            </w:r>
          </w:p>
          <w:p>
            <w:r>
              <w:rPr>
                <w:rFonts w:ascii="Consolas" w:hAnsi="Consolas"/>
                <w:color w:val="FFFFFF"/>
                <w:sz w:val="20"/>
              </w:rPr>
              <w:t>from src.optimizer import resolver_plan_semanal</w:t>
            </w:r>
          </w:p>
          <w:p>
            <w:r>
              <w:rPr>
                <w:rFonts w:ascii="Consolas" w:hAnsi="Consolas"/>
                <w:color w:val="FFFFFF"/>
                <w:sz w:val="20"/>
              </w:rPr>
              <w:t>import pandas as pd</w:t>
            </w:r>
          </w:p>
          <w:p>
            <w:r>
              <w:rPr>
                <w:rFonts w:ascii="Consolas" w:hAnsi="Consolas"/>
                <w:color w:val="FFFFFF"/>
                <w:sz w:val="20"/>
              </w:rPr>
            </w:r>
            <w:r>
              <w:rPr>
                <w:rFonts w:ascii="Consolas" w:hAnsi="Consolas"/>
                <w:color w:val="FFFFFF"/>
                <w:sz w:val="20"/>
              </w:rPr>
              <w:t>cfg = ConfigEscenario()</w:t>
            </w:r>
          </w:p>
          <w:p>
            <w:r>
              <w:rPr>
                <w:rFonts w:ascii="Consolas" w:hAnsi="Consolas"/>
                <w:color w:val="FFFFFF"/>
                <w:sz w:val="20"/>
              </w:rPr>
              <w:t>df_train = pd.concat([generar_backlog_semanal(s, cfg, seed=7) for s in range(1, 21)], ignore_index=True)</w:t>
            </w:r>
          </w:p>
          <w:p>
            <w:r>
              <w:rPr>
                <w:rFonts w:ascii="Consolas" w:hAnsi="Consolas"/>
                <w:color w:val="FFFFFF"/>
                <w:sz w:val="20"/>
              </w:rPr>
              <w:t>modelo, _ = entrenar_modelo(df_train)</w:t>
            </w:r>
          </w:p>
          <w:p>
            <w:r>
              <w:rPr>
                <w:rFonts w:ascii="Consolas" w:hAnsi="Consolas"/>
                <w:color w:val="FFFFFF"/>
                <w:sz w:val="20"/>
              </w:rPr>
              <w:t>df_test = generar_backlog_semanal(21, cfg, seed=99)</w:t>
            </w:r>
          </w:p>
          <w:p>
            <w:r>
              <w:rPr>
                <w:rFonts w:ascii="Consolas" w:hAnsi="Consolas"/>
                <w:color w:val="FFFFFF"/>
                <w:sz w:val="20"/>
              </w:rPr>
              <w:t>proba   = modelo.predict_proba(df_test)</w:t>
            </w:r>
          </w:p>
          <w:p>
            <w:r>
              <w:rPr>
                <w:rFonts w:ascii="Consolas" w:hAnsi="Consolas"/>
                <w:color w:val="FFFFFF"/>
                <w:sz w:val="20"/>
              </w:rPr>
              <w:t>df_score = calcular_riesgo(df_test, proba)</w:t>
            </w:r>
          </w:p>
          <w:p>
            <w:r>
              <w:rPr>
                <w:rFonts w:ascii="Consolas" w:hAnsi="Consolas"/>
                <w:color w:val="FFFFFF"/>
                <w:sz w:val="20"/>
              </w:rPr>
              <w:t>plan    = resolver_plan_semanal(df_score, cfg.horas_totales, cfg.horas_por_habilidad)</w:t>
            </w:r>
          </w:p>
          <w:p>
            <w:r>
              <w:rPr>
                <w:rFonts w:ascii="Consolas" w:hAnsi="Consolas"/>
                <w:color w:val="FFFFFF"/>
                <w:sz w:val="20"/>
              </w:rPr>
              <w:t>print('Plan generado:', plan.como_dict())</w:t>
            </w:r>
          </w:p>
          <w:p>
            <w:r>
              <w:rPr>
                <w:rFonts w:ascii="Consolas" w:hAnsi="Consolas"/>
                <w:color w:val="FFFFFF"/>
                <w:sz w:val="20"/>
              </w:rPr>
              <w:t xml:space="preserve">" </w:t>
            </w:r>
          </w:p>
        </w:tc>
      </w:tr>
    </w:tbl>
    <w:tbl>
      <w:tblPr>
        <w:tblW w:type="auto" w:w="0"/>
        <w:jc w:val="center"/>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“Aunque el OE3 todavía está en consolidación, el solver ya entrega un plan factible: respeta las horas totales, las horas por habilidad y la disponibilidad de repuestos. Lo que falta es la comparación pareada contra el baseline, que es el OE4.”</w:t>
            </w:r>
          </w:p>
        </w:tc>
      </w:tr>
    </w:tbl>
    <w:p>
      <w:pPr>
        <w:pStyle w:val="Heading2"/>
      </w:pPr>
      <w:r>
        <w:rPr>
          <w:rFonts w:ascii="Times New Roman" w:hAnsi="Times New Roman"/>
          <w:color w:val="2E75B6"/>
        </w:rPr>
        <w:t>Paso 4 — Cierre de la demo</w:t>
      </w:r>
    </w:p>
    <w:tbl>
      <w:tblPr>
        <w:tblW w:type="auto" w:w="0"/>
        <w:jc w:val="center"/>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“Esto es lo que tengo construido y verificable hasta el momento. El siguiente sprint se enfoca en consolidar la optimización, la sensibilidad del MCDA y la comparación con KPIs operativos, que es el insumo para la sección final del informe.”</w:t>
            </w:r>
          </w:p>
        </w:tc>
      </w:tr>
    </w:tbl>
    <w:p>
      <w:r>
        <w:br w:type="page"/>
      </w:r>
    </w:p>
    <w:p>
      <w:pPr>
        <w:pStyle w:val="Heading1"/>
      </w:pPr>
      <w:r>
        <w:rPr>
          <w:rFonts w:ascii="Times New Roman" w:hAnsi="Times New Roman"/>
          <w:color w:val="1F3A5F"/>
        </w:rPr>
        <w:t>Bloque C — Preguntas anticipadas y respuestas listas</w:t>
      </w:r>
    </w:p>
    <w:p>
      <w:pPr>
        <w:pStyle w:val="Heading2"/>
      </w:pPr>
      <w:r>
        <w:rPr>
          <w:rFonts w:ascii="Times New Roman" w:hAnsi="Times New Roman"/>
          <w:color w:val="2E75B6"/>
        </w:rPr>
        <w:t>¿Por qué regresión logística y no XGBoost o redes neuronales?</w:t>
      </w:r>
    </w:p>
    <w:p>
      <w:pPr>
        <w:jc w:val="both"/>
      </w:pPr>
      <w:r>
        <w:rPr>
          <w:rFonts w:ascii="Times New Roman" w:hAnsi="Times New Roman"/>
          <w:b w:val="0"/>
          <w:i w:val="0"/>
          <w:sz w:val="22"/>
        </w:rPr>
        <w:t>La regresión logística aporta tres ventajas críticas para este trabajo: es interpretable (los coeficientes estandarizados se pueden auditar), no requiere infraestructura GPU ni tuning agresivo, y rinde competitivamente en datasets tabulares de tamaño moderado. Como trabajo futuro está previsto comparar con XGBoost y LightGBM (Chen y Guestrin, 2016; Ke et al., 2017) para evaluar si el incremento en discriminación se traduce en mejor decisión operativa. Hasta ahora la prioridad fue garantizar trazabilidad y reproducibilidad.</w:t>
      </w:r>
    </w:p>
    <w:p>
      <w:pPr>
        <w:pStyle w:val="Heading2"/>
      </w:pPr>
      <w:r>
        <w:rPr>
          <w:rFonts w:ascii="Times New Roman" w:hAnsi="Times New Roman"/>
          <w:color w:val="2E75B6"/>
        </w:rPr>
        <w:t>¿Por qué calibración isotónica y no sigmoide?</w:t>
      </w:r>
    </w:p>
    <w:p>
      <w:pPr>
        <w:jc w:val="both"/>
      </w:pPr>
      <w:r>
        <w:rPr>
          <w:rFonts w:ascii="Times New Roman" w:hAnsi="Times New Roman"/>
          <w:b w:val="0"/>
          <w:i w:val="0"/>
          <w:sz w:val="22"/>
        </w:rPr>
        <w:t>La calibración sigmoide (Platt scaling) asume que el sesgo del clasificador es de tipo logístico, mientras que la isotónica solo requiere monotonía. Kull et al. (2017) muestran que la isotónica suele ser más robusta cuando el dataset tiene suficiente tamaño y la clase objetivo no es extremadamente rara, condiciones que se cumplen aquí.</w:t>
      </w:r>
    </w:p>
    <w:p>
      <w:pPr>
        <w:pStyle w:val="Heading2"/>
      </w:pPr>
      <w:r>
        <w:rPr>
          <w:rFonts w:ascii="Times New Roman" w:hAnsi="Times New Roman"/>
          <w:color w:val="2E75B6"/>
        </w:rPr>
        <w:t>¿Por qué datos sintéticos y no reales?</w:t>
      </w:r>
    </w:p>
    <w:p>
      <w:pPr>
        <w:jc w:val="both"/>
      </w:pPr>
      <w:r>
        <w:rPr>
          <w:rFonts w:ascii="Times New Roman" w:hAnsi="Times New Roman"/>
          <w:b w:val="0"/>
          <w:i w:val="0"/>
          <w:sz w:val="22"/>
        </w:rPr>
        <w:t>Por dos razones: (1) los datos reales de un CMMS suelen ser confidenciales o requieren permisos institucionales que no garantizan reproducibilidad externa; (2) la simulación permite controlar escenarios extremos (faltante de repuesto, reducción de capacidad) que rara vez se observan limpiamente en históricos. La validez externa se discutirá como limitación en el informe final, y el proyecto está diseñado para aceptar datos reales sin modificaciones estructurales.</w:t>
      </w:r>
    </w:p>
    <w:p>
      <w:pPr>
        <w:pStyle w:val="Heading2"/>
      </w:pPr>
      <w:r>
        <w:rPr>
          <w:rFonts w:ascii="Times New Roman" w:hAnsi="Times New Roman"/>
          <w:color w:val="2E75B6"/>
        </w:rPr>
        <w:t>¿Cómo se evita el sobreajuste si el dataset es sintético?</w:t>
      </w:r>
    </w:p>
    <w:p>
      <w:pPr>
        <w:jc w:val="both"/>
      </w:pPr>
      <w:r>
        <w:rPr>
          <w:rFonts w:ascii="Times New Roman" w:hAnsi="Times New Roman"/>
          <w:b w:val="0"/>
          <w:i w:val="0"/>
          <w:sz w:val="22"/>
        </w:rPr>
        <w:t>Tres mecanismos: (1) el target falla_7d se genera con ruido controlado en el logit, no es una función determinística; (2) el modelo se entrena en N semanas y se prueba en una semana K+1 distinta; (3) la regularización L2 limita la magnitud de los coeficientes. Adicionalmente, las 30 réplicas con semillas distintas permiten estimar la varianza del desempeño, no solo el promedio.</w:t>
      </w:r>
    </w:p>
    <w:p>
      <w:pPr>
        <w:pStyle w:val="Heading2"/>
      </w:pPr>
      <w:r>
        <w:rPr>
          <w:rFonts w:ascii="Times New Roman" w:hAnsi="Times New Roman"/>
          <w:color w:val="2E75B6"/>
        </w:rPr>
        <w:t>¿Por qué los pesos del MCDA son 0,5 / 0,3 / 0,2?</w:t>
      </w:r>
    </w:p>
    <w:p>
      <w:pPr>
        <w:jc w:val="both"/>
      </w:pPr>
      <w:r>
        <w:rPr>
          <w:rFonts w:ascii="Times New Roman" w:hAnsi="Times New Roman"/>
          <w:b w:val="0"/>
          <w:i w:val="0"/>
          <w:sz w:val="22"/>
        </w:rPr>
        <w:t>Esos pesos se eligieron como punto de partida razonable, ponderando la probabilidad de falla por encima de las consecuencias y del costo, alineado con la lógica RCM de anticipar antes que reparar. El escenario E4 evalúa precisamente la sensibilidad a esa elección elevando el peso de severidad a 0,5 y dentro de éste el de seguridad a 0,7. La auditabilidad del peso elegido es justamente uno de los aportes del enfoque MCDA (Greco, Ehrgott y Figueira, 2016).</w:t>
      </w:r>
    </w:p>
    <w:p>
      <w:pPr>
        <w:pStyle w:val="Heading2"/>
      </w:pPr>
      <w:r>
        <w:rPr>
          <w:rFonts w:ascii="Times New Roman" w:hAnsi="Times New Roman"/>
          <w:color w:val="2E75B6"/>
        </w:rPr>
        <w:t>¿Qué falta para terminar el trabajo?</w:t>
      </w:r>
    </w:p>
    <w:p>
      <w:pPr>
        <w:jc w:val="both"/>
      </w:pPr>
      <w:r>
        <w:rPr>
          <w:rFonts w:ascii="Times New Roman" w:hAnsi="Times New Roman"/>
          <w:b w:val="0"/>
          <w:i w:val="0"/>
          <w:sz w:val="22"/>
        </w:rPr>
        <w:t>Tres entregables: (1) consolidar el solver MILP con PuLP/CBC y validarlo en los cinco escenarios; (2) ejecutar las 30 réplicas pareadas baseline-modelo y reportar la prueba t de Student, los KPIs operativos y las gráficas comparativas; (3) integrar todo en la sección de Resultados y Discusión del working paper, con análisis de sensibilidad de pesos del MCDA. El cronograma estimado es de cuatro a seis semanas adicionales.</w:t>
      </w:r>
    </w:p>
    <w:p>
      <w:r>
        <w:br w:type="page"/>
      </w:r>
    </w:p>
    <w:p>
      <w:pPr>
        <w:pStyle w:val="Heading1"/>
      </w:pPr>
      <w:r>
        <w:rPr>
          <w:rFonts w:ascii="Times New Roman" w:hAnsi="Times New Roman"/>
          <w:color w:val="1F3A5F"/>
        </w:rPr>
        <w:t>Checklist pre-grabación</w:t>
      </w:r>
    </w:p>
    <w:p>
      <w:pPr>
        <w:pStyle w:val="ListBullet"/>
        <w:jc w:val="both"/>
      </w:pPr>
      <w:r>
        <w:rPr>
          <w:rFonts w:ascii="Times New Roman" w:hAnsi="Times New Roman"/>
          <w:i w:val="0"/>
          <w:sz w:val="22"/>
        </w:rPr>
        <w:t>Presentación abierta en modo Presentación (no Edición).</w:t>
      </w:r>
    </w:p>
    <w:p>
      <w:pPr>
        <w:pStyle w:val="ListBullet"/>
        <w:jc w:val="both"/>
      </w:pPr>
      <w:r>
        <w:rPr>
          <w:rFonts w:ascii="Times New Roman" w:hAnsi="Times New Roman"/>
          <w:i w:val="0"/>
          <w:sz w:val="22"/>
        </w:rPr>
        <w:t>VS Code o PyCharm con la carpeta proyecto/ abierta y los archivos data_generator.py, model.py, mcda.py, optimizer.py listos en pestañas.</w:t>
      </w:r>
    </w:p>
    <w:p>
      <w:pPr>
        <w:pStyle w:val="ListBullet"/>
        <w:jc w:val="both"/>
      </w:pPr>
      <w:r>
        <w:rPr>
          <w:rFonts w:ascii="Times New Roman" w:hAnsi="Times New Roman"/>
          <w:i w:val="0"/>
          <w:sz w:val="22"/>
        </w:rPr>
        <w:t>Terminal posicionada en proyecto/ y con el entorno virtual activo (si aplica).</w:t>
      </w:r>
    </w:p>
    <w:p>
      <w:pPr>
        <w:pStyle w:val="ListBullet"/>
        <w:jc w:val="both"/>
      </w:pPr>
      <w:r>
        <w:rPr>
          <w:rFonts w:ascii="Times New Roman" w:hAnsi="Times New Roman"/>
          <w:i w:val="0"/>
          <w:sz w:val="22"/>
        </w:rPr>
        <w:t>Notebook 01_pipeline_completo.ipynb abierto como respaldo.</w:t>
      </w:r>
    </w:p>
    <w:p>
      <w:pPr>
        <w:pStyle w:val="ListBullet"/>
        <w:jc w:val="both"/>
      </w:pPr>
      <w:r>
        <w:rPr>
          <w:rFonts w:ascii="Times New Roman" w:hAnsi="Times New Roman"/>
          <w:i w:val="0"/>
          <w:sz w:val="22"/>
        </w:rPr>
        <w:t>Audio probado (micrófono, sin reverb).</w:t>
      </w:r>
    </w:p>
    <w:p>
      <w:pPr>
        <w:pStyle w:val="ListBullet"/>
        <w:jc w:val="both"/>
      </w:pPr>
      <w:r>
        <w:rPr>
          <w:rFonts w:ascii="Times New Roman" w:hAnsi="Times New Roman"/>
          <w:i w:val="0"/>
          <w:sz w:val="22"/>
        </w:rPr>
        <w:t>Cámara web encendida si la institución lo exige.</w:t>
      </w:r>
    </w:p>
    <w:p>
      <w:pPr>
        <w:pStyle w:val="ListBullet"/>
        <w:jc w:val="both"/>
      </w:pPr>
      <w:r>
        <w:rPr>
          <w:rFonts w:ascii="Times New Roman" w:hAnsi="Times New Roman"/>
          <w:i w:val="0"/>
          <w:sz w:val="22"/>
        </w:rPr>
        <w:t>Cierre del navegador y notificaciones del sistema en silencio.</w:t>
      </w:r>
    </w:p>
    <w:p>
      <w:pPr>
        <w:pStyle w:val="ListBullet"/>
        <w:jc w:val="both"/>
      </w:pPr>
      <w:r>
        <w:rPr>
          <w:rFonts w:ascii="Times New Roman" w:hAnsi="Times New Roman"/>
          <w:i w:val="0"/>
          <w:sz w:val="22"/>
        </w:rPr>
        <w:t>Tener a mano la pregunta de investigación y la frase del objetivo general memorizadas (slides 3 y 5).</w:t>
      </w:r>
    </w:p>
    <w:p>
      <w:pPr>
        <w:pStyle w:val="Heading1"/>
      </w:pPr>
      <w:r>
        <w:rPr>
          <w:rFonts w:ascii="Times New Roman" w:hAnsi="Times New Roman"/>
          <w:color w:val="1F3A5F"/>
        </w:rPr>
        <w:t>Distribución de tiempo (≈ 12 min)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A5F"/>
          </w:tcPr>
          <w:p>
            <w:r>
              <w:rPr>
                <w:rFonts w:ascii="Times New Roman" w:hAnsi="Times New Roman"/>
                <w:b/>
                <w:color w:val="FFFFFF"/>
                <w:sz w:val="22"/>
              </w:rPr>
              <w:t>Bloque</w:t>
            </w:r>
          </w:p>
        </w:tc>
        <w:tc>
          <w:tcPr>
            <w:tcW w:type="dxa" w:w="2880"/>
            <w:shd w:val="clear" w:color="auto" w:fill="1F3A5F"/>
          </w:tcPr>
          <w:p>
            <w:r>
              <w:rPr>
                <w:rFonts w:ascii="Times New Roman" w:hAnsi="Times New Roman"/>
                <w:b/>
                <w:color w:val="FFFFFF"/>
                <w:sz w:val="22"/>
              </w:rPr>
              <w:t>Slides / acciones</w:t>
            </w:r>
          </w:p>
        </w:tc>
        <w:tc>
          <w:tcPr>
            <w:tcW w:type="dxa" w:w="2880"/>
            <w:shd w:val="clear" w:color="auto" w:fill="1F3A5F"/>
          </w:tcPr>
          <w:p>
            <w:r>
              <w:rPr>
                <w:rFonts w:ascii="Times New Roman" w:hAnsi="Times New Roman"/>
                <w:b/>
                <w:color w:val="FFFFFF"/>
                <w:sz w:val="22"/>
              </w:rPr>
              <w:t>Tiempo</w:t>
            </w:r>
          </w:p>
        </w:tc>
      </w:tr>
      <w:tr>
        <w:tc>
          <w:tcPr>
            <w:tcW w:type="dxa" w:w="2880"/>
          </w:tcPr>
          <w:p>
            <w:r>
              <w:rPr>
                <w:rFonts w:ascii="Times New Roman" w:hAnsi="Times New Roman"/>
                <w:sz w:val="22"/>
              </w:rPr>
              <w:t>Apertura</w:t>
            </w:r>
          </w:p>
        </w:tc>
        <w:tc>
          <w:tcPr>
            <w:tcW w:type="dxa" w:w="2880"/>
          </w:tcPr>
          <w:p>
            <w:r>
              <w:rPr>
                <w:rFonts w:ascii="Times New Roman" w:hAnsi="Times New Roman"/>
                <w:sz w:val="22"/>
              </w:rPr>
              <w:t>Slides 1–4 (portada, contexto, problema, justificación)</w:t>
            </w:r>
          </w:p>
        </w:tc>
        <w:tc>
          <w:tcPr>
            <w:tcW w:type="dxa" w:w="2880"/>
          </w:tcPr>
          <w:p>
            <w:r>
              <w:rPr>
                <w:rFonts w:ascii="Times New Roman" w:hAnsi="Times New Roman"/>
                <w:sz w:val="22"/>
              </w:rPr>
              <w:t>3:00</w:t>
            </w:r>
          </w:p>
        </w:tc>
      </w:tr>
      <w:tr>
        <w:tc>
          <w:tcPr>
            <w:tcW w:type="dxa" w:w="2880"/>
          </w:tcPr>
          <w:p>
            <w:r>
              <w:rPr>
                <w:rFonts w:ascii="Times New Roman" w:hAnsi="Times New Roman"/>
                <w:sz w:val="22"/>
              </w:rPr>
              <w:t>Objetivos y método</w:t>
            </w:r>
          </w:p>
        </w:tc>
        <w:tc>
          <w:tcPr>
            <w:tcW w:type="dxa" w:w="2880"/>
          </w:tcPr>
          <w:p>
            <w:r>
              <w:rPr>
                <w:rFonts w:ascii="Times New Roman" w:hAnsi="Times New Roman"/>
                <w:sz w:val="22"/>
              </w:rPr>
              <w:t>Slides 5–7</w:t>
            </w:r>
          </w:p>
        </w:tc>
        <w:tc>
          <w:tcPr>
            <w:tcW w:type="dxa" w:w="2880"/>
          </w:tcPr>
          <w:p>
            <w:r>
              <w:rPr>
                <w:rFonts w:ascii="Times New Roman" w:hAnsi="Times New Roman"/>
                <w:sz w:val="22"/>
              </w:rPr>
              <w:t>2:30</w:t>
            </w:r>
          </w:p>
        </w:tc>
      </w:tr>
      <w:tr>
        <w:tc>
          <w:tcPr>
            <w:tcW w:type="dxa" w:w="2880"/>
          </w:tcPr>
          <w:p>
            <w:r>
              <w:rPr>
                <w:rFonts w:ascii="Times New Roman" w:hAnsi="Times New Roman"/>
                <w:sz w:val="22"/>
              </w:rPr>
              <w:t>OE1 — Dataset</w:t>
            </w:r>
          </w:p>
        </w:tc>
        <w:tc>
          <w:tcPr>
            <w:tcW w:type="dxa" w:w="2880"/>
          </w:tcPr>
          <w:p>
            <w:r>
              <w:rPr>
                <w:rFonts w:ascii="Times New Roman" w:hAnsi="Times New Roman"/>
                <w:sz w:val="22"/>
              </w:rPr>
              <w:t>Slide 8 + demo paso 1 (opcional)</w:t>
            </w:r>
          </w:p>
        </w:tc>
        <w:tc>
          <w:tcPr>
            <w:tcW w:type="dxa" w:w="2880"/>
          </w:tcPr>
          <w:p>
            <w:r>
              <w:rPr>
                <w:rFonts w:ascii="Times New Roman" w:hAnsi="Times New Roman"/>
                <w:sz w:val="22"/>
              </w:rPr>
              <w:t>1:30</w:t>
            </w:r>
          </w:p>
        </w:tc>
      </w:tr>
      <w:tr>
        <w:tc>
          <w:tcPr>
            <w:tcW w:type="dxa" w:w="2880"/>
          </w:tcPr>
          <w:p>
            <w:r>
              <w:rPr>
                <w:rFonts w:ascii="Times New Roman" w:hAnsi="Times New Roman"/>
                <w:sz w:val="22"/>
              </w:rPr>
              <w:t>OE2 — Modelo</w:t>
            </w:r>
          </w:p>
        </w:tc>
        <w:tc>
          <w:tcPr>
            <w:tcW w:type="dxa" w:w="2880"/>
          </w:tcPr>
          <w:p>
            <w:r>
              <w:rPr>
                <w:rFonts w:ascii="Times New Roman" w:hAnsi="Times New Roman"/>
                <w:sz w:val="22"/>
              </w:rPr>
              <w:t>Slides 9–10 + demo paso 2 (opcional)</w:t>
            </w:r>
          </w:p>
        </w:tc>
        <w:tc>
          <w:tcPr>
            <w:tcW w:type="dxa" w:w="2880"/>
          </w:tcPr>
          <w:p>
            <w:r>
              <w:rPr>
                <w:rFonts w:ascii="Times New Roman" w:hAnsi="Times New Roman"/>
                <w:sz w:val="22"/>
              </w:rPr>
              <w:t>2:30</w:t>
            </w:r>
          </w:p>
        </w:tc>
      </w:tr>
      <w:tr>
        <w:tc>
          <w:tcPr>
            <w:tcW w:type="dxa" w:w="2880"/>
          </w:tcPr>
          <w:p>
            <w:r>
              <w:rPr>
                <w:rFonts w:ascii="Times New Roman" w:hAnsi="Times New Roman"/>
                <w:sz w:val="22"/>
              </w:rPr>
              <w:t>OE3 — Adelanto</w:t>
            </w:r>
          </w:p>
        </w:tc>
        <w:tc>
          <w:tcPr>
            <w:tcW w:type="dxa" w:w="2880"/>
          </w:tcPr>
          <w:p>
            <w:r>
              <w:rPr>
                <w:rFonts w:ascii="Times New Roman" w:hAnsi="Times New Roman"/>
                <w:sz w:val="22"/>
              </w:rPr>
              <w:t>Slide 11 + comentario sobre el solver</w:t>
            </w:r>
          </w:p>
        </w:tc>
        <w:tc>
          <w:tcPr>
            <w:tcW w:type="dxa" w:w="2880"/>
          </w:tcPr>
          <w:p>
            <w:r>
              <w:rPr>
                <w:rFonts w:ascii="Times New Roman" w:hAnsi="Times New Roman"/>
                <w:sz w:val="22"/>
              </w:rPr>
              <w:t>1:30</w:t>
            </w:r>
          </w:p>
        </w:tc>
      </w:tr>
      <w:tr>
        <w:tc>
          <w:tcPr>
            <w:tcW w:type="dxa" w:w="2880"/>
          </w:tcPr>
          <w:p>
            <w:r>
              <w:rPr>
                <w:rFonts w:ascii="Times New Roman" w:hAnsi="Times New Roman"/>
                <w:sz w:val="22"/>
              </w:rPr>
              <w:t>Cierre</w:t>
            </w:r>
          </w:p>
        </w:tc>
        <w:tc>
          <w:tcPr>
            <w:tcW w:type="dxa" w:w="2880"/>
          </w:tcPr>
          <w:p>
            <w:r>
              <w:rPr>
                <w:rFonts w:ascii="Times New Roman" w:hAnsi="Times New Roman"/>
                <w:sz w:val="22"/>
              </w:rPr>
              <w:t>Slide 12 + preguntas</w:t>
            </w:r>
          </w:p>
        </w:tc>
        <w:tc>
          <w:tcPr>
            <w:tcW w:type="dxa" w:w="2880"/>
          </w:tcPr>
          <w:p>
            <w:r>
              <w:rPr>
                <w:rFonts w:ascii="Times New Roman" w:hAnsi="Times New Roman"/>
                <w:sz w:val="22"/>
              </w:rPr>
              <w:t>1:00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