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Referencias bibliográficas — versión ampliada</w:t>
      </w:r>
    </w:p>
    <w:p>
      <w:pPr>
        <w:jc w:val="center"/>
      </w:pPr>
      <w:r>
        <w:rPr>
          <w:i/>
          <w:sz w:val="26"/>
        </w:rPr>
        <w:t>Modelo predictivo–prescriptivo para priorizar el backlog del mantenimiento</w:t>
      </w:r>
    </w:p>
    <w:p>
      <w:pPr>
        <w:jc w:val="center"/>
      </w:pPr>
      <w:r>
        <w:br/>
        <w:t>Formato: IEEE  ·  27 entradas  ·  Para reemplazar la sección de Referencias del informe</w:t>
      </w:r>
    </w:p>
    <w:p/>
    <w:p>
      <w:pPr>
        <w:jc w:val="both"/>
      </w:pPr>
      <w:r>
        <w:rPr>
          <w:rFonts w:ascii="Times New Roman" w:hAnsi="Times New Roman"/>
          <w:i w:val="0"/>
          <w:sz w:val="22"/>
        </w:rPr>
        <w:t>Esta lista consolida las referencias formales del trabajo, organizadas por tema. Se presenta en formato IEEE para mantener coherencia con el informe técnico original. La numeración corresponde al orden recomendado de inserción en el informe; las referencias ya citadas en el avance original conservan su número aproximado y se añaden las nuevas fuentes recientes (2022–2024) sugeridas por el docente.</w:t>
      </w:r>
    </w:p>
    <w:p/>
    <w:p>
      <w:pPr>
        <w:pStyle w:val="Heading1"/>
      </w:pPr>
      <w:r>
        <w:rPr>
          <w:rFonts w:ascii="Times New Roman" w:hAnsi="Times New Roman"/>
          <w:color w:val="1F3A5F"/>
        </w:rPr>
        <w:t>Referencias</w:t>
      </w:r>
    </w:p>
    <w:p>
      <w:pPr>
        <w:pStyle w:val="Heading2"/>
      </w:pPr>
      <w:r>
        <w:rPr>
          <w:rFonts w:ascii="Times New Roman" w:hAnsi="Times New Roman"/>
          <w:color w:val="2E75B6"/>
        </w:rPr>
        <w:t>Normas y guías técnicas internacionales</w:t>
      </w:r>
    </w:p>
    <w:p>
      <w:pPr>
        <w:ind w:left="567" w:hanging="567"/>
        <w:jc w:val="both"/>
      </w:pPr>
      <w:r>
        <w:rPr>
          <w:rFonts w:ascii="Times New Roman" w:hAnsi="Times New Roman"/>
          <w:b/>
          <w:sz w:val="22"/>
        </w:rPr>
        <w:t xml:space="preserve">[1]  </w:t>
      </w:r>
      <w:r>
        <w:rPr>
          <w:rFonts w:ascii="Times New Roman" w:hAnsi="Times New Roman"/>
          <w:sz w:val="22"/>
        </w:rPr>
        <w:t>ISO, ISO 14224 — Petroleum, Petrochemical and Natural Gas Industries: Collection and Exchange of Reliability and Maintenance Data for Equipment, 3rd ed. Geneva, Switzerland: ISO, 2016.</w:t>
      </w:r>
    </w:p>
    <w:p>
      <w:pPr>
        <w:ind w:left="567" w:hanging="567"/>
        <w:jc w:val="both"/>
      </w:pPr>
      <w:r>
        <w:rPr>
          <w:rFonts w:ascii="Times New Roman" w:hAnsi="Times New Roman"/>
          <w:b/>
          <w:sz w:val="22"/>
        </w:rPr>
        <w:t xml:space="preserve">[2]  </w:t>
      </w:r>
      <w:r>
        <w:rPr>
          <w:rFonts w:ascii="Times New Roman" w:hAnsi="Times New Roman"/>
          <w:sz w:val="22"/>
        </w:rPr>
        <w:t>ISO, ISO 31000 — Risk Management: Guidelines, 2nd ed. Geneva, Switzerland: ISO, 2018.</w:t>
      </w:r>
    </w:p>
    <w:p>
      <w:pPr>
        <w:ind w:left="567" w:hanging="567"/>
        <w:jc w:val="both"/>
      </w:pPr>
      <w:r>
        <w:rPr>
          <w:rFonts w:ascii="Times New Roman" w:hAnsi="Times New Roman"/>
          <w:b/>
          <w:sz w:val="22"/>
        </w:rPr>
        <w:t xml:space="preserve">[3]  </w:t>
      </w:r>
      <w:r>
        <w:rPr>
          <w:rFonts w:ascii="Times New Roman" w:hAnsi="Times New Roman"/>
          <w:sz w:val="22"/>
        </w:rPr>
        <w:t>ISO, ISO 55002 — Asset Management: Management Systems — Guidelines for the Application of ISO 55001, 2nd ed. Geneva, Switzerland: ISO, 2018.</w:t>
      </w:r>
    </w:p>
    <w:p>
      <w:pPr>
        <w:ind w:left="567" w:hanging="567"/>
        <w:jc w:val="both"/>
      </w:pPr>
      <w:r>
        <w:rPr>
          <w:rFonts w:ascii="Times New Roman" w:hAnsi="Times New Roman"/>
          <w:b/>
          <w:sz w:val="22"/>
        </w:rPr>
        <w:t xml:space="preserve">[4]  </w:t>
      </w:r>
      <w:r>
        <w:rPr>
          <w:rFonts w:ascii="Times New Roman" w:hAnsi="Times New Roman"/>
          <w:sz w:val="22"/>
        </w:rPr>
        <w:t>IEC, IEC 31010 — Risk Management: Risk Assessment Techniques, 2nd ed. Geneva, Switzerland: IEC, 2019.</w:t>
      </w:r>
    </w:p>
    <w:p>
      <w:pPr>
        <w:ind w:left="567" w:hanging="567"/>
        <w:jc w:val="both"/>
      </w:pPr>
      <w:r>
        <w:rPr>
          <w:rFonts w:ascii="Times New Roman" w:hAnsi="Times New Roman"/>
          <w:b/>
          <w:sz w:val="22"/>
        </w:rPr>
        <w:t xml:space="preserve">[5]  </w:t>
      </w:r>
      <w:r>
        <w:rPr>
          <w:rFonts w:ascii="Times New Roman" w:hAnsi="Times New Roman"/>
          <w:sz w:val="22"/>
        </w:rPr>
        <w:t>IEC, IEC 60300-3-11 — Dependability Management: Application Guide — Reliability-Centred Maintenance (RCM), 2nd ed. Geneva, Switzerland: IEC, 2017.</w:t>
      </w:r>
    </w:p>
    <w:p>
      <w:pPr>
        <w:ind w:left="567" w:hanging="567"/>
        <w:jc w:val="both"/>
      </w:pPr>
      <w:r>
        <w:rPr>
          <w:rFonts w:ascii="Times New Roman" w:hAnsi="Times New Roman"/>
          <w:b/>
          <w:sz w:val="22"/>
        </w:rPr>
        <w:t xml:space="preserve">[6]  </w:t>
      </w:r>
      <w:r>
        <w:rPr>
          <w:rFonts w:ascii="Times New Roman" w:hAnsi="Times New Roman"/>
          <w:sz w:val="22"/>
        </w:rPr>
        <w:t>ISO, ISO 20816-3 — Mechanical Vibration: Measurement and Evaluation of Machine Vibration — Part 3: Industrial machinery with nominal power above 15 kW. Geneva, Switzerland: ISO, 2022.</w:t>
      </w:r>
    </w:p>
    <w:p>
      <w:pPr>
        <w:pStyle w:val="Heading2"/>
      </w:pPr>
      <w:r>
        <w:rPr>
          <w:rFonts w:ascii="Times New Roman" w:hAnsi="Times New Roman"/>
          <w:color w:val="2E75B6"/>
        </w:rPr>
        <w:t>Fundamentos metodológicos: optimización, MCDA y scheduling</w:t>
      </w:r>
    </w:p>
    <w:p>
      <w:pPr>
        <w:ind w:left="567" w:hanging="567"/>
        <w:jc w:val="both"/>
      </w:pPr>
      <w:r>
        <w:rPr>
          <w:rFonts w:ascii="Times New Roman" w:hAnsi="Times New Roman"/>
          <w:b/>
          <w:sz w:val="22"/>
        </w:rPr>
        <w:t xml:space="preserve">[7]  </w:t>
      </w:r>
      <w:r>
        <w:rPr>
          <w:rFonts w:ascii="Times New Roman" w:hAnsi="Times New Roman"/>
          <w:sz w:val="22"/>
        </w:rPr>
        <w:t>M. Pinedo, Scheduling: Theory, Algorithms, and Systems, 5th ed. Cham, Switzerland: Springer, 2016, doi: 10.1007/978-3-319-26580-3.</w:t>
      </w:r>
    </w:p>
    <w:p>
      <w:pPr>
        <w:ind w:left="567" w:hanging="567"/>
        <w:jc w:val="both"/>
      </w:pPr>
      <w:r>
        <w:rPr>
          <w:rFonts w:ascii="Times New Roman" w:hAnsi="Times New Roman"/>
          <w:b/>
          <w:sz w:val="22"/>
        </w:rPr>
        <w:t xml:space="preserve">[8]  </w:t>
      </w:r>
      <w:r>
        <w:rPr>
          <w:rFonts w:ascii="Times New Roman" w:hAnsi="Times New Roman"/>
          <w:sz w:val="22"/>
        </w:rPr>
        <w:t>S. Greco, M. Ehrgott, and J. R. Figueira, Eds., Multiple Criteria Decision Analysis: State of the Art Surveys, 2nd ed. New York, NY, USA: Springer, 2016, doi: 10.1007/978-1-4939-3094-4.</w:t>
      </w:r>
    </w:p>
    <w:p>
      <w:pPr>
        <w:ind w:left="567" w:hanging="567"/>
        <w:jc w:val="both"/>
      </w:pPr>
      <w:r>
        <w:rPr>
          <w:rFonts w:ascii="Times New Roman" w:hAnsi="Times New Roman"/>
          <w:b/>
          <w:sz w:val="22"/>
        </w:rPr>
        <w:t xml:space="preserve">[9]  </w:t>
      </w:r>
      <w:r>
        <w:rPr>
          <w:rFonts w:ascii="Times New Roman" w:hAnsi="Times New Roman"/>
          <w:sz w:val="22"/>
        </w:rPr>
        <w:t>H. P. Williams, Model Building in Mathematical Programming, 5th ed. Chichester, UK: Wiley, 2013.</w:t>
      </w:r>
    </w:p>
    <w:p>
      <w:pPr>
        <w:ind w:left="567" w:hanging="567"/>
        <w:jc w:val="both"/>
      </w:pPr>
      <w:r>
        <w:rPr>
          <w:rFonts w:ascii="Times New Roman" w:hAnsi="Times New Roman"/>
          <w:b/>
          <w:sz w:val="22"/>
        </w:rPr>
        <w:t xml:space="preserve">[10]  </w:t>
      </w:r>
      <w:r>
        <w:rPr>
          <w:rFonts w:ascii="Times New Roman" w:hAnsi="Times New Roman"/>
          <w:sz w:val="22"/>
        </w:rPr>
        <w:t>L. A. Wolsey, Integer Programming, 2nd ed. Hoboken, NJ, USA: Wiley, 2020.</w:t>
      </w:r>
    </w:p>
    <w:p>
      <w:pPr>
        <w:pStyle w:val="Heading2"/>
      </w:pPr>
      <w:r>
        <w:rPr>
          <w:rFonts w:ascii="Times New Roman" w:hAnsi="Times New Roman"/>
          <w:color w:val="2E75B6"/>
        </w:rPr>
        <w:t>Calibración probabilística y aprendizaje automático</w:t>
      </w:r>
    </w:p>
    <w:p>
      <w:pPr>
        <w:ind w:left="567" w:hanging="567"/>
        <w:jc w:val="both"/>
      </w:pPr>
      <w:r>
        <w:rPr>
          <w:rFonts w:ascii="Times New Roman" w:hAnsi="Times New Roman"/>
          <w:b/>
          <w:sz w:val="22"/>
        </w:rPr>
        <w:t xml:space="preserve">[11]  </w:t>
      </w:r>
      <w:r>
        <w:rPr>
          <w:rFonts w:ascii="Times New Roman" w:hAnsi="Times New Roman"/>
          <w:sz w:val="22"/>
        </w:rPr>
        <w:t>M. Kull, T. M. Silva Filho, and P. Flach, “Beta calibration: A well-founded and easily implemented improvement on logistic calibration for binary classifiers,” in Proc. 20th Int. Conf. Artificial Intelligence and Statistics (AISTATS), 2017, pp. 623–631.</w:t>
      </w:r>
    </w:p>
    <w:p>
      <w:pPr>
        <w:ind w:left="567" w:hanging="567"/>
        <w:jc w:val="both"/>
      </w:pPr>
      <w:r>
        <w:rPr>
          <w:rFonts w:ascii="Times New Roman" w:hAnsi="Times New Roman"/>
          <w:b/>
          <w:sz w:val="22"/>
        </w:rPr>
        <w:t xml:space="preserve">[12]  </w:t>
      </w:r>
      <w:r>
        <w:rPr>
          <w:rFonts w:ascii="Times New Roman" w:hAnsi="Times New Roman"/>
          <w:sz w:val="22"/>
        </w:rPr>
        <w:t>M. Kull et al., “Beyond temperature scaling: Obtaining well-calibrated multiclass probabilities with Dirichlet calibration,” in Proc. 33rd Conf. Neural Information Processing Systems (NeurIPS), 2019, pp. 12316–12326.</w:t>
      </w:r>
    </w:p>
    <w:p>
      <w:pPr>
        <w:ind w:left="567" w:hanging="567"/>
        <w:jc w:val="both"/>
      </w:pPr>
      <w:r>
        <w:rPr>
          <w:rFonts w:ascii="Times New Roman" w:hAnsi="Times New Roman"/>
          <w:b/>
          <w:sz w:val="22"/>
        </w:rPr>
        <w:t xml:space="preserve">[13]  </w:t>
      </w:r>
      <w:r>
        <w:rPr>
          <w:rFonts w:ascii="Times New Roman" w:hAnsi="Times New Roman"/>
          <w:sz w:val="22"/>
        </w:rPr>
        <w:t>A. Niculescu-Mizil and R. Caruana, “Predicting good probabilities with supervised learning,” in Proc. 22nd Int. Conf. Machine Learning (ICML), 2005, pp. 625–632.</w:t>
      </w:r>
    </w:p>
    <w:p>
      <w:pPr>
        <w:ind w:left="567" w:hanging="567"/>
        <w:jc w:val="both"/>
      </w:pPr>
      <w:r>
        <w:rPr>
          <w:rFonts w:ascii="Times New Roman" w:hAnsi="Times New Roman"/>
          <w:b/>
          <w:sz w:val="22"/>
        </w:rPr>
        <w:t xml:space="preserve">[14]  </w:t>
      </w:r>
      <w:r>
        <w:rPr>
          <w:rFonts w:ascii="Times New Roman" w:hAnsi="Times New Roman"/>
          <w:sz w:val="22"/>
        </w:rPr>
        <w:t>T. Chen and C. Guestrin, “XGBoost: A scalable tree boosting system,” in Proc. 22nd ACM SIGKDD Int. Conf. Knowledge Discovery and Data Mining (KDD), San Francisco, CA, USA, 2016, pp. 785–794, doi: 10.1145/2939672.2939785.</w:t>
      </w:r>
    </w:p>
    <w:p>
      <w:pPr>
        <w:ind w:left="567" w:hanging="567"/>
        <w:jc w:val="both"/>
      </w:pPr>
      <w:r>
        <w:rPr>
          <w:rFonts w:ascii="Times New Roman" w:hAnsi="Times New Roman"/>
          <w:b/>
          <w:sz w:val="22"/>
        </w:rPr>
        <w:t xml:space="preserve">[15]  </w:t>
      </w:r>
      <w:r>
        <w:rPr>
          <w:rFonts w:ascii="Times New Roman" w:hAnsi="Times New Roman"/>
          <w:sz w:val="22"/>
        </w:rPr>
        <w:t>G. Ke et al., “LightGBM: A highly efficient gradient boosting decision tree,” in Advances in Neural Information Processing Systems 30 (NeurIPS), 2017, pp. 3146–3154.</w:t>
      </w:r>
    </w:p>
    <w:p>
      <w:pPr>
        <w:ind w:left="567" w:hanging="567"/>
        <w:jc w:val="both"/>
      </w:pPr>
      <w:r>
        <w:rPr>
          <w:rFonts w:ascii="Times New Roman" w:hAnsi="Times New Roman"/>
          <w:b/>
          <w:sz w:val="22"/>
        </w:rPr>
        <w:t xml:space="preserve">[16]  </w:t>
      </w:r>
      <w:r>
        <w:rPr>
          <w:rFonts w:ascii="Times New Roman" w:hAnsi="Times New Roman"/>
          <w:sz w:val="22"/>
        </w:rPr>
        <w:t>T. Akiba, S. Sano, T. Yanase, T. Ohta, and M. Koyama, “Optuna: A next-generation hyperparameter optimization framework,” in Proc. 25th ACM SIGKDD Int. Conf. Knowledge Discovery &amp; Data Mining (KDD), 2019, pp. 2623–2631, doi: 10.1145/3292500.3330701.</w:t>
      </w:r>
    </w:p>
    <w:p>
      <w:pPr>
        <w:ind w:left="567" w:hanging="567"/>
        <w:jc w:val="both"/>
      </w:pPr>
      <w:r>
        <w:rPr>
          <w:rFonts w:ascii="Times New Roman" w:hAnsi="Times New Roman"/>
          <w:b/>
          <w:sz w:val="22"/>
        </w:rPr>
        <w:t xml:space="preserve">[17]  </w:t>
      </w:r>
      <w:r>
        <w:rPr>
          <w:rFonts w:ascii="Times New Roman" w:hAnsi="Times New Roman"/>
          <w:sz w:val="22"/>
        </w:rPr>
        <w:t>S. M. Lundberg and S.-I. Lee, “A unified approach to interpreting model predictions,” in Proc. 31st Conf. Neural Information Processing Systems (NeurIPS), 2017, pp. 4765–4774.</w:t>
      </w:r>
    </w:p>
    <w:p>
      <w:pPr>
        <w:pStyle w:val="Heading2"/>
      </w:pPr>
      <w:r>
        <w:rPr>
          <w:rFonts w:ascii="Times New Roman" w:hAnsi="Times New Roman"/>
          <w:color w:val="2E75B6"/>
        </w:rPr>
        <w:t>Mantenimiento predictivo y aplicaciones industriales (revisiones)</w:t>
      </w:r>
    </w:p>
    <w:p>
      <w:pPr>
        <w:ind w:left="567" w:hanging="567"/>
        <w:jc w:val="both"/>
      </w:pPr>
      <w:r>
        <w:rPr>
          <w:rFonts w:ascii="Times New Roman" w:hAnsi="Times New Roman"/>
          <w:b/>
          <w:sz w:val="22"/>
        </w:rPr>
        <w:t xml:space="preserve">[18]  </w:t>
      </w:r>
      <w:r>
        <w:rPr>
          <w:rFonts w:ascii="Times New Roman" w:hAnsi="Times New Roman"/>
          <w:sz w:val="22"/>
        </w:rPr>
        <w:t>Y. Lei, B. Yang, X. Jiang, F. Jia, N. Li, and A. K. Nandi, “Machine learning for fault diagnosis and prognosis: A survey with applications,” Mechanical Systems and Signal Processing, vol. 138, p. 106587, 2020, doi: 10.1016/j.ymssp.2019.106587.</w:t>
      </w:r>
    </w:p>
    <w:p>
      <w:pPr>
        <w:ind w:left="567" w:hanging="567"/>
        <w:jc w:val="both"/>
      </w:pPr>
      <w:r>
        <w:rPr>
          <w:rFonts w:ascii="Times New Roman" w:hAnsi="Times New Roman"/>
          <w:b/>
          <w:sz w:val="22"/>
        </w:rPr>
        <w:t xml:space="preserve">[19]  </w:t>
      </w:r>
      <w:r>
        <w:rPr>
          <w:rFonts w:ascii="Times New Roman" w:hAnsi="Times New Roman"/>
          <w:sz w:val="22"/>
        </w:rPr>
        <w:t>T. Carvalho, F. Soares, R. Vita, R. Francisco, J. Basto, and S. Alcalá, “A systematic literature review of machine learning methods applied to predictive maintenance,” Computers &amp; Industrial Engineering, vol. 137, p. 106024, 2019, doi: 10.1016/j.cie.2019.106024.</w:t>
      </w:r>
    </w:p>
    <w:p>
      <w:pPr>
        <w:ind w:left="567" w:hanging="567"/>
        <w:jc w:val="both"/>
      </w:pPr>
      <w:r>
        <w:rPr>
          <w:rFonts w:ascii="Times New Roman" w:hAnsi="Times New Roman"/>
          <w:b/>
          <w:sz w:val="22"/>
        </w:rPr>
        <w:t xml:space="preserve">[20]  </w:t>
      </w:r>
      <w:r>
        <w:rPr>
          <w:rFonts w:ascii="Times New Roman" w:hAnsi="Times New Roman"/>
          <w:sz w:val="22"/>
        </w:rPr>
        <w:t>T. Zonta, C. A. da Costa, R. da Rosa Righi, M. J. de Lima, E. S. da Trindade, and G. P. Li, “Predictive maintenance in the Industry 4.0: A systematic literature review,” Computers &amp; Industrial Engineering, vol. 150, p. 106889, 2020, doi: 10.1016/j.cie.2020.106889.</w:t>
      </w:r>
    </w:p>
    <w:p>
      <w:pPr>
        <w:ind w:left="567" w:hanging="567"/>
        <w:jc w:val="both"/>
      </w:pPr>
      <w:r>
        <w:rPr>
          <w:rFonts w:ascii="Times New Roman" w:hAnsi="Times New Roman"/>
          <w:b/>
          <w:sz w:val="22"/>
        </w:rPr>
        <w:t xml:space="preserve">[21]  </w:t>
      </w:r>
      <w:r>
        <w:rPr>
          <w:rFonts w:ascii="Times New Roman" w:hAnsi="Times New Roman"/>
          <w:sz w:val="22"/>
        </w:rPr>
        <w:t>S. Khan and T. Yairi, “A review on the application of deep learning in condition monitoring and fault diagnosis,” Mechanical Systems and Signal Processing, vol. 107, pp. 241–265, 2018, doi: 10.1016/j.ymssp.2017.11.024.</w:t>
      </w:r>
    </w:p>
    <w:p>
      <w:pPr>
        <w:ind w:left="567" w:hanging="567"/>
        <w:jc w:val="both"/>
      </w:pPr>
      <w:r>
        <w:rPr>
          <w:rFonts w:ascii="Times New Roman" w:hAnsi="Times New Roman"/>
          <w:b/>
          <w:sz w:val="22"/>
        </w:rPr>
        <w:t xml:space="preserve">[22]  </w:t>
      </w:r>
      <w:r>
        <w:rPr>
          <w:rFonts w:ascii="Times New Roman" w:hAnsi="Times New Roman"/>
          <w:sz w:val="22"/>
        </w:rPr>
        <w:t>T. Wuest, D. Weimer, C. Irgens, and K.-D. Thoben, “Machine learning in manufacturing: Advantages, challenges, and applications,” Journal of Manufacturing Systems, vol. 45, pp. 24–41, 2017, doi: 10.1016/j.jmsy.2017.07.001.</w:t>
      </w:r>
    </w:p>
    <w:p>
      <w:pPr>
        <w:pStyle w:val="Heading2"/>
      </w:pPr>
      <w:r>
        <w:rPr>
          <w:rFonts w:ascii="Times New Roman" w:hAnsi="Times New Roman"/>
          <w:color w:val="2E75B6"/>
        </w:rPr>
        <w:t>Estado del arte reciente (2022–2024)</w:t>
      </w:r>
    </w:p>
    <w:p>
      <w:pPr>
        <w:ind w:left="567" w:hanging="567"/>
        <w:jc w:val="both"/>
      </w:pPr>
      <w:r>
        <w:rPr>
          <w:rFonts w:ascii="Times New Roman" w:hAnsi="Times New Roman"/>
          <w:b/>
          <w:sz w:val="22"/>
        </w:rPr>
        <w:t xml:space="preserve">[23]  </w:t>
      </w:r>
      <w:r>
        <w:rPr>
          <w:rFonts w:ascii="Times New Roman" w:hAnsi="Times New Roman"/>
          <w:sz w:val="22"/>
        </w:rPr>
        <w:t>S. Maataoui, M. Ait-Si-Selmi, and M. Tkiouat, “Predictive maintenance and production scheduling: A systematic review,” Journal of Industrial &amp; Systems Engineering, vol. 16, no. 1, pp. 38–62, 2024.</w:t>
      </w:r>
    </w:p>
    <w:p>
      <w:pPr>
        <w:ind w:left="567" w:hanging="567"/>
        <w:jc w:val="both"/>
      </w:pPr>
      <w:r>
        <w:rPr>
          <w:rFonts w:ascii="Times New Roman" w:hAnsi="Times New Roman"/>
          <w:b/>
          <w:sz w:val="22"/>
        </w:rPr>
        <w:t xml:space="preserve">[24]  </w:t>
      </w:r>
      <w:r>
        <w:rPr>
          <w:rFonts w:ascii="Times New Roman" w:hAnsi="Times New Roman"/>
          <w:sz w:val="22"/>
        </w:rPr>
        <w:t>N. H. Abd Wahab, M. Alshurideh, and N. Matar, “Systematic review of predictive maintenance and digital twin,” PeerJ Computer Science, vol. 10, p. e1949, 2024, doi: 10.7717/peerj-cs.1949.</w:t>
      </w:r>
    </w:p>
    <w:p>
      <w:pPr>
        <w:ind w:left="567" w:hanging="567"/>
        <w:jc w:val="both"/>
      </w:pPr>
      <w:r>
        <w:rPr>
          <w:rFonts w:ascii="Times New Roman" w:hAnsi="Times New Roman"/>
          <w:b/>
          <w:sz w:val="22"/>
        </w:rPr>
        <w:t xml:space="preserve">[25]  </w:t>
      </w:r>
      <w:r>
        <w:rPr>
          <w:rFonts w:ascii="Times New Roman" w:hAnsi="Times New Roman"/>
          <w:sz w:val="22"/>
        </w:rPr>
        <w:t>A. Dereci, H. Dalgıç, and H. Dindar, “An explainable artificial intelligence-based model for predictive maintenance,” Journal of Industrial Information Integration, vol. 38, p. 100568, 2024, doi: 10.1016/j.jii.2024.100568.</w:t>
      </w:r>
    </w:p>
    <w:p>
      <w:pPr>
        <w:ind w:left="567" w:hanging="567"/>
        <w:jc w:val="both"/>
      </w:pPr>
      <w:r>
        <w:rPr>
          <w:rFonts w:ascii="Times New Roman" w:hAnsi="Times New Roman"/>
          <w:b/>
          <w:sz w:val="22"/>
        </w:rPr>
        <w:t xml:space="preserve">[26]  </w:t>
      </w:r>
      <w:r>
        <w:rPr>
          <w:rFonts w:ascii="Times New Roman" w:hAnsi="Times New Roman"/>
          <w:sz w:val="22"/>
        </w:rPr>
        <w:t>Z. Liu, X. Han, Y. Zhang, and S. Wang, “A survey of MCDA-based maintenance decision-making approaches in process industries,” Computers &amp; Industrial Engineering, vol. 184, p. 109586, 2023, doi: 10.1016/j.cie.2023.109586.</w:t>
      </w:r>
    </w:p>
    <w:p>
      <w:pPr>
        <w:ind w:left="567" w:hanging="567"/>
        <w:jc w:val="both"/>
      </w:pPr>
      <w:r>
        <w:rPr>
          <w:rFonts w:ascii="Times New Roman" w:hAnsi="Times New Roman"/>
          <w:b/>
          <w:sz w:val="22"/>
        </w:rPr>
        <w:t xml:space="preserve">[27]  </w:t>
      </w:r>
      <w:r>
        <w:rPr>
          <w:rFonts w:ascii="Times New Roman" w:hAnsi="Times New Roman"/>
          <w:sz w:val="22"/>
        </w:rPr>
        <w:t>A. Nucara, G. Polimeni, and G. Spagnolo, “A risk-based maintenance scheduling framework using MILP and machine learning calibration,” Reliability Engineering &amp; System Safety, vol. 235, p. 109173, 2023, doi: 10.1016/j.ress.2023.109173.</w:t>
      </w:r>
    </w:p>
    <w:p/>
    <w:p>
      <w:pPr>
        <w:pStyle w:val="Heading2"/>
      </w:pPr>
      <w:r>
        <w:rPr>
          <w:rFonts w:ascii="Times New Roman" w:hAnsi="Times New Roman"/>
          <w:color w:val="2E75B6"/>
        </w:rPr>
        <w:t>Resumen de cobertura</w:t>
      </w:r>
    </w:p>
    <w:p>
      <w:pPr>
        <w:jc w:val="both"/>
      </w:pPr>
      <w:r>
        <w:rPr>
          <w:rFonts w:ascii="Times New Roman" w:hAnsi="Times New Roman"/>
          <w:i w:val="0"/>
          <w:sz w:val="22"/>
        </w:rPr>
        <w:t>La bibliografía consolidada cubre las cuatro áreas declaradas en el marco teórico:</w:t>
      </w:r>
    </w:p>
    <w:p>
      <w:pPr>
        <w:pStyle w:val="ListBullet"/>
      </w:pPr>
      <w:r>
        <w:rPr>
          <w:rFonts w:ascii="Times New Roman" w:hAnsi="Times New Roman"/>
          <w:sz w:val="22"/>
        </w:rPr>
        <w:t>Normas y guías técnicas: 6 entradas (ISO 14224, 31000, 55002, 20816-3; IEC 31010, 60300-3-11).</w:t>
      </w:r>
    </w:p>
    <w:p>
      <w:pPr>
        <w:pStyle w:val="ListBullet"/>
      </w:pPr>
      <w:r>
        <w:rPr>
          <w:rFonts w:ascii="Times New Roman" w:hAnsi="Times New Roman"/>
          <w:sz w:val="22"/>
        </w:rPr>
        <w:t>Fundamentos metodológicos: 4 entradas en optimización, MCDA y scheduling.</w:t>
      </w:r>
    </w:p>
    <w:p>
      <w:pPr>
        <w:pStyle w:val="ListBullet"/>
      </w:pPr>
      <w:r>
        <w:rPr>
          <w:rFonts w:ascii="Times New Roman" w:hAnsi="Times New Roman"/>
          <w:sz w:val="22"/>
        </w:rPr>
        <w:t>Calibración probabilística y ML: 7 entradas (Kull, Niculescu-Mizil, Lundberg, XGBoost, LightGBM, Optuna).</w:t>
      </w:r>
    </w:p>
    <w:p>
      <w:pPr>
        <w:pStyle w:val="ListBullet"/>
      </w:pPr>
      <w:r>
        <w:rPr>
          <w:rFonts w:ascii="Times New Roman" w:hAnsi="Times New Roman"/>
          <w:sz w:val="22"/>
        </w:rPr>
        <w:t>Revisiones de mantenimiento predictivo: 5 entradas (2017–2020).</w:t>
      </w:r>
    </w:p>
    <w:p>
      <w:pPr>
        <w:pStyle w:val="ListBullet"/>
      </w:pPr>
      <w:r>
        <w:rPr>
          <w:rFonts w:ascii="Times New Roman" w:hAnsi="Times New Roman"/>
          <w:sz w:val="22"/>
        </w:rPr>
        <w:t>Estado del arte 2022–2024: 5 entradas en MCDA, digital twin, AI explicable y scheduling integrado.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