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olor w:val="1F3A5F"/>
        </w:rPr>
        <w:t>6. RESULTADOS Y DISCUSIÓN</w:t>
      </w:r>
    </w:p>
    <w:p>
      <w:pPr>
        <w:jc w:val="both"/>
      </w:pPr>
      <w:r>
        <w:rPr>
          <w:rFonts w:ascii="Times New Roman" w:hAnsi="Times New Roman"/>
          <w:b w:val="0"/>
          <w:i w:val="0"/>
          <w:sz w:val="22"/>
        </w:rPr>
        <w:t>El desarrollo experimental del modelo predictivo–prescriptivo se ejecutó sobre cinco escenarios (E1 a E5) con treinta réplicas independientes cada uno (n = 150 corridas en total), siguiendo el diseño descrito en la metodología. Los resultados se presentan organizados por cada objetivo específico, complementados con análisis descriptivos (media, desviación estándar, intervalo de confianza al 95 %) e inferenciales (prueba t de Student pareada entre Modelo y Baseline), que permiten contrastar el desempeño del modelo propuesto frente a la política tradicional de priorización por prioridad nominal y fecha. La presentación se limita a la descripción de hallazgos, dejando la interpretación valorativa y las recomendaciones para los apartados subsiguientes (Hernández Sampieri, Fernández Collado y Baptista Lucio, 2010).</w:t>
      </w:r>
    </w:p>
    <w:p>
      <w:pPr>
        <w:pStyle w:val="Heading2"/>
      </w:pPr>
      <w:r>
        <w:rPr>
          <w:rFonts w:ascii="Times New Roman" w:hAnsi="Times New Roman"/>
          <w:color w:val="1F3A5F"/>
        </w:rPr>
        <w:t>6.1. Construcción del dataset reproducible (OE1)</w:t>
      </w:r>
    </w:p>
    <w:p>
      <w:pPr>
        <w:jc w:val="both"/>
      </w:pPr>
      <w:r>
        <w:rPr>
          <w:rFonts w:ascii="Times New Roman" w:hAnsi="Times New Roman"/>
          <w:b w:val="0"/>
          <w:i w:val="0"/>
          <w:sz w:val="22"/>
        </w:rPr>
        <w:t>Se generó un conjunto de datos sintético compuesto por veintiuna (21) variables organizadas en atributos identificadores, descriptivos del equipo, históricos, técnicos del repuesto y de consecuencia, alineados con la estructura de captura de información sugerida por la norma ISO 14224 (ISO, 2016) y los lineamientos del Mantenimiento Centrado en Confiabilidad (IEC, 2017). Cada réplica produjo un backlog semanal con un número aleatorio de órdenes entre 20 y 100 (media observada ≈ 60 WO/semana), con semilla controlada para garantizar reproducibilidad. La Tabla 1 sintetiza los grupos de variables del dataset; el diccionario de datos completo se presenta en el Anexo A.</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3A5F"/>
            <w:vAlign w:val="center"/>
          </w:tcPr>
          <w:p>
            <w:pPr>
              <w:jc w:val="center"/>
            </w:pPr>
            <w:r>
              <w:rPr>
                <w:rFonts w:ascii="Times New Roman" w:hAnsi="Times New Roman"/>
                <w:b/>
                <w:color w:val="FFFFFF"/>
                <w:sz w:val="20"/>
              </w:rPr>
              <w:t>Grupo de variable</w:t>
            </w:r>
          </w:p>
        </w:tc>
        <w:tc>
          <w:tcPr>
            <w:tcW w:type="dxa" w:w="2880"/>
            <w:shd w:val="clear" w:color="auto" w:fill="1F3A5F"/>
            <w:vAlign w:val="center"/>
          </w:tcPr>
          <w:p>
            <w:pPr>
              <w:jc w:val="center"/>
            </w:pPr>
            <w:r>
              <w:rPr>
                <w:rFonts w:ascii="Times New Roman" w:hAnsi="Times New Roman"/>
                <w:b/>
                <w:color w:val="FFFFFF"/>
                <w:sz w:val="20"/>
              </w:rPr>
              <w:t>Cantidad</w:t>
            </w:r>
          </w:p>
        </w:tc>
        <w:tc>
          <w:tcPr>
            <w:tcW w:type="dxa" w:w="2880"/>
            <w:shd w:val="clear" w:color="auto" w:fill="1F3A5F"/>
            <w:vAlign w:val="center"/>
          </w:tcPr>
          <w:p>
            <w:pPr>
              <w:jc w:val="center"/>
            </w:pPr>
            <w:r>
              <w:rPr>
                <w:rFonts w:ascii="Times New Roman" w:hAnsi="Times New Roman"/>
                <w:b/>
                <w:color w:val="FFFFFF"/>
                <w:sz w:val="20"/>
              </w:rPr>
              <w:t>Ejemplos representativos</w:t>
            </w:r>
          </w:p>
        </w:tc>
      </w:tr>
      <w:tr>
        <w:tc>
          <w:tcPr>
            <w:tcW w:type="dxa" w:w="2880"/>
          </w:tcPr>
          <w:p>
            <w:pPr>
              <w:jc w:val="left"/>
            </w:pPr>
            <w:r>
              <w:rPr>
                <w:rFonts w:ascii="Times New Roman" w:hAnsi="Times New Roman"/>
                <w:sz w:val="20"/>
              </w:rPr>
              <w:t>Identificadores y temporalidad</w:t>
            </w:r>
          </w:p>
        </w:tc>
        <w:tc>
          <w:tcPr>
            <w:tcW w:type="dxa" w:w="2880"/>
          </w:tcPr>
          <w:p>
            <w:pPr>
              <w:jc w:val="center"/>
            </w:pPr>
            <w:r>
              <w:rPr>
                <w:rFonts w:ascii="Times New Roman" w:hAnsi="Times New Roman"/>
                <w:sz w:val="20"/>
              </w:rPr>
              <w:t>3</w:t>
            </w:r>
          </w:p>
        </w:tc>
        <w:tc>
          <w:tcPr>
            <w:tcW w:type="dxa" w:w="2880"/>
          </w:tcPr>
          <w:p>
            <w:pPr>
              <w:jc w:val="center"/>
            </w:pPr>
            <w:r>
              <w:rPr>
                <w:rFonts w:ascii="Times New Roman" w:hAnsi="Times New Roman"/>
                <w:sz w:val="20"/>
              </w:rPr>
              <w:t>wo_id, semana, dias_en_backlog</w:t>
            </w:r>
          </w:p>
        </w:tc>
      </w:tr>
      <w:tr>
        <w:tc>
          <w:tcPr>
            <w:tcW w:type="dxa" w:w="2880"/>
          </w:tcPr>
          <w:p>
            <w:pPr>
              <w:jc w:val="left"/>
            </w:pPr>
            <w:r>
              <w:rPr>
                <w:rFonts w:ascii="Times New Roman" w:hAnsi="Times New Roman"/>
                <w:sz w:val="20"/>
              </w:rPr>
              <w:t>Atributos del equipo y la WO</w:t>
            </w:r>
          </w:p>
        </w:tc>
        <w:tc>
          <w:tcPr>
            <w:tcW w:type="dxa" w:w="2880"/>
          </w:tcPr>
          <w:p>
            <w:pPr>
              <w:jc w:val="center"/>
            </w:pPr>
            <w:r>
              <w:rPr>
                <w:rFonts w:ascii="Times New Roman" w:hAnsi="Times New Roman"/>
                <w:sz w:val="20"/>
              </w:rPr>
              <w:t>5</w:t>
            </w:r>
          </w:p>
        </w:tc>
        <w:tc>
          <w:tcPr>
            <w:tcW w:type="dxa" w:w="2880"/>
          </w:tcPr>
          <w:p>
            <w:pPr>
              <w:jc w:val="center"/>
            </w:pPr>
            <w:r>
              <w:rPr>
                <w:rFonts w:ascii="Times New Roman" w:hAnsi="Times New Roman"/>
                <w:sz w:val="20"/>
              </w:rPr>
              <w:t>tipo_wo, clase_equipo, habilidad_requerida, criticidad, prioridad_nominal</w:t>
            </w:r>
          </w:p>
        </w:tc>
      </w:tr>
      <w:tr>
        <w:tc>
          <w:tcPr>
            <w:tcW w:type="dxa" w:w="2880"/>
          </w:tcPr>
          <w:p>
            <w:pPr>
              <w:jc w:val="left"/>
            </w:pPr>
            <w:r>
              <w:rPr>
                <w:rFonts w:ascii="Times New Roman" w:hAnsi="Times New Roman"/>
                <w:sz w:val="20"/>
              </w:rPr>
              <w:t>Severidad y consecuencia</w:t>
            </w:r>
          </w:p>
        </w:tc>
        <w:tc>
          <w:tcPr>
            <w:tcW w:type="dxa" w:w="2880"/>
          </w:tcPr>
          <w:p>
            <w:pPr>
              <w:jc w:val="center"/>
            </w:pPr>
            <w:r>
              <w:rPr>
                <w:rFonts w:ascii="Times New Roman" w:hAnsi="Times New Roman"/>
                <w:sz w:val="20"/>
              </w:rPr>
              <w:t>3</w:t>
            </w:r>
          </w:p>
        </w:tc>
        <w:tc>
          <w:tcPr>
            <w:tcW w:type="dxa" w:w="2880"/>
          </w:tcPr>
          <w:p>
            <w:pPr>
              <w:jc w:val="center"/>
            </w:pPr>
            <w:r>
              <w:rPr>
                <w:rFonts w:ascii="Times New Roman" w:hAnsi="Times New Roman"/>
                <w:sz w:val="20"/>
              </w:rPr>
              <w:t>sev_seguridad, sev_ambiental, sev_produccion</w:t>
            </w:r>
          </w:p>
        </w:tc>
      </w:tr>
      <w:tr>
        <w:tc>
          <w:tcPr>
            <w:tcW w:type="dxa" w:w="2880"/>
          </w:tcPr>
          <w:p>
            <w:pPr>
              <w:jc w:val="left"/>
            </w:pPr>
            <w:r>
              <w:rPr>
                <w:rFonts w:ascii="Times New Roman" w:hAnsi="Times New Roman"/>
                <w:sz w:val="20"/>
              </w:rPr>
              <w:t>Historial y uso</w:t>
            </w:r>
          </w:p>
        </w:tc>
        <w:tc>
          <w:tcPr>
            <w:tcW w:type="dxa" w:w="2880"/>
          </w:tcPr>
          <w:p>
            <w:pPr>
              <w:jc w:val="center"/>
            </w:pPr>
            <w:r>
              <w:rPr>
                <w:rFonts w:ascii="Times New Roman" w:hAnsi="Times New Roman"/>
                <w:sz w:val="20"/>
              </w:rPr>
              <w:t>3</w:t>
            </w:r>
          </w:p>
        </w:tc>
        <w:tc>
          <w:tcPr>
            <w:tcW w:type="dxa" w:w="2880"/>
          </w:tcPr>
          <w:p>
            <w:pPr>
              <w:jc w:val="center"/>
            </w:pPr>
            <w:r>
              <w:rPr>
                <w:rFonts w:ascii="Times New Roman" w:hAnsi="Times New Roman"/>
                <w:sz w:val="20"/>
              </w:rPr>
              <w:t>pm_vencidos, edad_equipo_anios, uso_acumulado_pct</w:t>
            </w:r>
          </w:p>
        </w:tc>
      </w:tr>
      <w:tr>
        <w:tc>
          <w:tcPr>
            <w:tcW w:type="dxa" w:w="2880"/>
          </w:tcPr>
          <w:p>
            <w:pPr>
              <w:jc w:val="left"/>
            </w:pPr>
            <w:r>
              <w:rPr>
                <w:rFonts w:ascii="Times New Roman" w:hAnsi="Times New Roman"/>
                <w:sz w:val="20"/>
              </w:rPr>
              <w:t>Operativos / planificación</w:t>
            </w:r>
          </w:p>
        </w:tc>
        <w:tc>
          <w:tcPr>
            <w:tcW w:type="dxa" w:w="2880"/>
          </w:tcPr>
          <w:p>
            <w:pPr>
              <w:jc w:val="center"/>
            </w:pPr>
            <w:r>
              <w:rPr>
                <w:rFonts w:ascii="Times New Roman" w:hAnsi="Times New Roman"/>
                <w:sz w:val="20"/>
              </w:rPr>
              <w:t>3</w:t>
            </w:r>
          </w:p>
        </w:tc>
        <w:tc>
          <w:tcPr>
            <w:tcW w:type="dxa" w:w="2880"/>
          </w:tcPr>
          <w:p>
            <w:pPr>
              <w:jc w:val="center"/>
            </w:pPr>
            <w:r>
              <w:rPr>
                <w:rFonts w:ascii="Times New Roman" w:hAnsi="Times New Roman"/>
                <w:sz w:val="20"/>
              </w:rPr>
              <w:t>duracion_h, ventana_dia_limite, prioridad_nominal</w:t>
            </w:r>
          </w:p>
        </w:tc>
      </w:tr>
      <w:tr>
        <w:tc>
          <w:tcPr>
            <w:tcW w:type="dxa" w:w="2880"/>
          </w:tcPr>
          <w:p>
            <w:pPr>
              <w:jc w:val="left"/>
            </w:pPr>
            <w:r>
              <w:rPr>
                <w:rFonts w:ascii="Times New Roman" w:hAnsi="Times New Roman"/>
                <w:sz w:val="20"/>
              </w:rPr>
              <w:t>Repuestos</w:t>
            </w:r>
          </w:p>
        </w:tc>
        <w:tc>
          <w:tcPr>
            <w:tcW w:type="dxa" w:w="2880"/>
          </w:tcPr>
          <w:p>
            <w:pPr>
              <w:jc w:val="center"/>
            </w:pPr>
            <w:r>
              <w:rPr>
                <w:rFonts w:ascii="Times New Roman" w:hAnsi="Times New Roman"/>
                <w:sz w:val="20"/>
              </w:rPr>
              <w:t>3</w:t>
            </w:r>
          </w:p>
        </w:tc>
        <w:tc>
          <w:tcPr>
            <w:tcW w:type="dxa" w:w="2880"/>
          </w:tcPr>
          <w:p>
            <w:pPr>
              <w:jc w:val="center"/>
            </w:pPr>
            <w:r>
              <w:rPr>
                <w:rFonts w:ascii="Times New Roman" w:hAnsi="Times New Roman"/>
                <w:sz w:val="20"/>
              </w:rPr>
              <w:t>repuesto_id, repuesto_disponible, lead_time_repuesto</w:t>
            </w:r>
          </w:p>
        </w:tc>
      </w:tr>
      <w:tr>
        <w:tc>
          <w:tcPr>
            <w:tcW w:type="dxa" w:w="2880"/>
          </w:tcPr>
          <w:p>
            <w:pPr>
              <w:jc w:val="left"/>
            </w:pPr>
            <w:r>
              <w:rPr>
                <w:rFonts w:ascii="Times New Roman" w:hAnsi="Times New Roman"/>
                <w:sz w:val="20"/>
              </w:rPr>
              <w:t>Variables objetivo y de control</w:t>
            </w:r>
          </w:p>
        </w:tc>
        <w:tc>
          <w:tcPr>
            <w:tcW w:type="dxa" w:w="2880"/>
          </w:tcPr>
          <w:p>
            <w:pPr>
              <w:jc w:val="center"/>
            </w:pPr>
            <w:r>
              <w:rPr>
                <w:rFonts w:ascii="Times New Roman" w:hAnsi="Times New Roman"/>
                <w:sz w:val="20"/>
              </w:rPr>
              <w:t>1</w:t>
            </w:r>
          </w:p>
        </w:tc>
        <w:tc>
          <w:tcPr>
            <w:tcW w:type="dxa" w:w="2880"/>
          </w:tcPr>
          <w:p>
            <w:pPr>
              <w:jc w:val="center"/>
            </w:pPr>
            <w:r>
              <w:rPr>
                <w:rFonts w:ascii="Times New Roman" w:hAnsi="Times New Roman"/>
                <w:sz w:val="20"/>
              </w:rPr>
              <w:t>falla_7d (target binario)</w:t>
            </w:r>
          </w:p>
        </w:tc>
      </w:tr>
    </w:tbl>
    <w:p>
      <w:pPr>
        <w:jc w:val="center"/>
      </w:pPr>
      <w:r>
        <w:rPr>
          <w:rFonts w:ascii="Times New Roman" w:hAnsi="Times New Roman"/>
          <w:i/>
          <w:sz w:val="20"/>
        </w:rPr>
        <w:t>Tabla 1. Composición del dataset sintético generado por réplica.</w:t>
      </w:r>
    </w:p>
    <w:p>
      <w:pPr>
        <w:jc w:val="both"/>
      </w:pPr>
      <w:r>
        <w:rPr>
          <w:rFonts w:ascii="Times New Roman" w:hAnsi="Times New Roman"/>
          <w:b w:val="0"/>
          <w:i w:val="0"/>
          <w:sz w:val="22"/>
        </w:rPr>
        <w:t>La consistencia del dataset se verificó mediante la prevalencia de la variable objetivo (falla_7d ≈ 0,40 promedio entre réplicas), la correlación esperada entre criticidad y severidad de seguridad (r ≈ 0,21) y la independencia entre semanas, condición necesaria para la prueba t pareada posterior. El dataset, junto con su diccionario, satisface el criterio de trazabilidad exigido en el OE1.</w:t>
      </w:r>
    </w:p>
    <w:p>
      <w:pPr>
        <w:pStyle w:val="Heading2"/>
      </w:pPr>
      <w:r>
        <w:rPr>
          <w:rFonts w:ascii="Times New Roman" w:hAnsi="Times New Roman"/>
          <w:color w:val="1F3A5F"/>
        </w:rPr>
        <w:t>6.2. Desempeño del modelo predictivo calibrado (OE2)</w:t>
      </w:r>
    </w:p>
    <w:p>
      <w:pPr>
        <w:jc w:val="both"/>
      </w:pPr>
      <w:r>
        <w:rPr>
          <w:rFonts w:ascii="Times New Roman" w:hAnsi="Times New Roman"/>
          <w:b w:val="0"/>
          <w:i w:val="0"/>
          <w:sz w:val="22"/>
        </w:rPr>
        <w:t>El componente predictivo se construyó como una regresión logística regularizada (L2) con balanceo de clases por ponderación inversa, seguida de calibración isotónica mediante el algoritmo Pool Adjacent Violators (PAV) sobre un fold de calibración independiente (Kull, Silva Filho y Flach, 2017). Las métricas de discriminación y calibración —área bajo la curva ROC (AUC), área bajo la curva precisión–recall (PR-AUC) y Brier Score— se reportan en la Tabla 2 como promedio sobre las treinta réplicas de cada escenario.</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3A5F"/>
            <w:vAlign w:val="center"/>
          </w:tcPr>
          <w:p>
            <w:pPr>
              <w:jc w:val="center"/>
            </w:pPr>
            <w:r>
              <w:rPr>
                <w:rFonts w:ascii="Times New Roman" w:hAnsi="Times New Roman"/>
                <w:b/>
                <w:color w:val="FFFFFF"/>
                <w:sz w:val="20"/>
              </w:rPr>
              <w:t>Escenario</w:t>
            </w:r>
          </w:p>
        </w:tc>
        <w:tc>
          <w:tcPr>
            <w:tcW w:type="dxa" w:w="2160"/>
            <w:shd w:val="clear" w:color="auto" w:fill="1F3A5F"/>
            <w:vAlign w:val="center"/>
          </w:tcPr>
          <w:p>
            <w:pPr>
              <w:jc w:val="center"/>
            </w:pPr>
            <w:r>
              <w:rPr>
                <w:rFonts w:ascii="Times New Roman" w:hAnsi="Times New Roman"/>
                <w:b/>
                <w:color w:val="FFFFFF"/>
                <w:sz w:val="20"/>
              </w:rPr>
              <w:t>AUC (media ± DE)</w:t>
            </w:r>
          </w:p>
        </w:tc>
        <w:tc>
          <w:tcPr>
            <w:tcW w:type="dxa" w:w="2160"/>
            <w:shd w:val="clear" w:color="auto" w:fill="1F3A5F"/>
            <w:vAlign w:val="center"/>
          </w:tcPr>
          <w:p>
            <w:pPr>
              <w:jc w:val="center"/>
            </w:pPr>
            <w:r>
              <w:rPr>
                <w:rFonts w:ascii="Times New Roman" w:hAnsi="Times New Roman"/>
                <w:b/>
                <w:color w:val="FFFFFF"/>
                <w:sz w:val="20"/>
              </w:rPr>
              <w:t>PR-AUC (media ± DE)</w:t>
            </w:r>
          </w:p>
        </w:tc>
        <w:tc>
          <w:tcPr>
            <w:tcW w:type="dxa" w:w="2160"/>
            <w:shd w:val="clear" w:color="auto" w:fill="1F3A5F"/>
            <w:vAlign w:val="center"/>
          </w:tcPr>
          <w:p>
            <w:pPr>
              <w:jc w:val="center"/>
            </w:pPr>
            <w:r>
              <w:rPr>
                <w:rFonts w:ascii="Times New Roman" w:hAnsi="Times New Roman"/>
                <w:b/>
                <w:color w:val="FFFFFF"/>
                <w:sz w:val="20"/>
              </w:rPr>
              <w:t>Brier (media ± DE)</w:t>
            </w:r>
          </w:p>
        </w:tc>
      </w:tr>
      <w:tr>
        <w:tc>
          <w:tcPr>
            <w:tcW w:type="dxa" w:w="2160"/>
          </w:tcPr>
          <w:p>
            <w:pPr>
              <w:jc w:val="left"/>
            </w:pPr>
            <w:r>
              <w:rPr>
                <w:rFonts w:ascii="Times New Roman" w:hAnsi="Times New Roman"/>
                <w:sz w:val="20"/>
              </w:rPr>
              <w:t>E1 — Recursos nominales</w:t>
            </w:r>
          </w:p>
        </w:tc>
        <w:tc>
          <w:tcPr>
            <w:tcW w:type="dxa" w:w="2160"/>
          </w:tcPr>
          <w:p>
            <w:pPr>
              <w:jc w:val="center"/>
            </w:pPr>
            <w:r>
              <w:rPr>
                <w:rFonts w:ascii="Times New Roman" w:hAnsi="Times New Roman"/>
                <w:sz w:val="20"/>
              </w:rPr>
              <w:t>0,762 ± 0,022</w:t>
            </w:r>
          </w:p>
        </w:tc>
        <w:tc>
          <w:tcPr>
            <w:tcW w:type="dxa" w:w="2160"/>
          </w:tcPr>
          <w:p>
            <w:pPr>
              <w:jc w:val="center"/>
            </w:pPr>
            <w:r>
              <w:rPr>
                <w:rFonts w:ascii="Times New Roman" w:hAnsi="Times New Roman"/>
                <w:sz w:val="20"/>
              </w:rPr>
              <w:t>0,786 ± 0,026</w:t>
            </w:r>
          </w:p>
        </w:tc>
        <w:tc>
          <w:tcPr>
            <w:tcW w:type="dxa" w:w="2160"/>
          </w:tcPr>
          <w:p>
            <w:pPr>
              <w:jc w:val="center"/>
            </w:pPr>
            <w:r>
              <w:rPr>
                <w:rFonts w:ascii="Times New Roman" w:hAnsi="Times New Roman"/>
                <w:sz w:val="20"/>
              </w:rPr>
              <w:t>0,201 ± 0,009</w:t>
            </w:r>
          </w:p>
        </w:tc>
      </w:tr>
      <w:tr>
        <w:tc>
          <w:tcPr>
            <w:tcW w:type="dxa" w:w="2160"/>
          </w:tcPr>
          <w:p>
            <w:pPr>
              <w:jc w:val="left"/>
            </w:pPr>
            <w:r>
              <w:rPr>
                <w:rFonts w:ascii="Times New Roman" w:hAnsi="Times New Roman"/>
                <w:sz w:val="20"/>
              </w:rPr>
              <w:t>E2 — −20 % capacidad</w:t>
            </w:r>
          </w:p>
        </w:tc>
        <w:tc>
          <w:tcPr>
            <w:tcW w:type="dxa" w:w="2160"/>
          </w:tcPr>
          <w:p>
            <w:pPr>
              <w:jc w:val="center"/>
            </w:pPr>
            <w:r>
              <w:rPr>
                <w:rFonts w:ascii="Times New Roman" w:hAnsi="Times New Roman"/>
                <w:sz w:val="20"/>
              </w:rPr>
              <w:t>0,762 ± 0,022</w:t>
            </w:r>
          </w:p>
        </w:tc>
        <w:tc>
          <w:tcPr>
            <w:tcW w:type="dxa" w:w="2160"/>
          </w:tcPr>
          <w:p>
            <w:pPr>
              <w:jc w:val="center"/>
            </w:pPr>
            <w:r>
              <w:rPr>
                <w:rFonts w:ascii="Times New Roman" w:hAnsi="Times New Roman"/>
                <w:sz w:val="20"/>
              </w:rPr>
              <w:t>0,786 ± 0,026</w:t>
            </w:r>
          </w:p>
        </w:tc>
        <w:tc>
          <w:tcPr>
            <w:tcW w:type="dxa" w:w="2160"/>
          </w:tcPr>
          <w:p>
            <w:pPr>
              <w:jc w:val="center"/>
            </w:pPr>
            <w:r>
              <w:rPr>
                <w:rFonts w:ascii="Times New Roman" w:hAnsi="Times New Roman"/>
                <w:sz w:val="20"/>
              </w:rPr>
              <w:t>0,201 ± 0,009</w:t>
            </w:r>
          </w:p>
        </w:tc>
      </w:tr>
      <w:tr>
        <w:tc>
          <w:tcPr>
            <w:tcW w:type="dxa" w:w="2160"/>
          </w:tcPr>
          <w:p>
            <w:pPr>
              <w:jc w:val="left"/>
            </w:pPr>
            <w:r>
              <w:rPr>
                <w:rFonts w:ascii="Times New Roman" w:hAnsi="Times New Roman"/>
                <w:sz w:val="20"/>
              </w:rPr>
              <w:t>E3 — Faltante de repuesto</w:t>
            </w:r>
          </w:p>
        </w:tc>
        <w:tc>
          <w:tcPr>
            <w:tcW w:type="dxa" w:w="2160"/>
          </w:tcPr>
          <w:p>
            <w:pPr>
              <w:jc w:val="center"/>
            </w:pPr>
            <w:r>
              <w:rPr>
                <w:rFonts w:ascii="Times New Roman" w:hAnsi="Times New Roman"/>
                <w:sz w:val="20"/>
              </w:rPr>
              <w:t>0,762 ± 0,022</w:t>
            </w:r>
          </w:p>
        </w:tc>
        <w:tc>
          <w:tcPr>
            <w:tcW w:type="dxa" w:w="2160"/>
          </w:tcPr>
          <w:p>
            <w:pPr>
              <w:jc w:val="center"/>
            </w:pPr>
            <w:r>
              <w:rPr>
                <w:rFonts w:ascii="Times New Roman" w:hAnsi="Times New Roman"/>
                <w:sz w:val="20"/>
              </w:rPr>
              <w:t>0,786 ± 0,026</w:t>
            </w:r>
          </w:p>
        </w:tc>
        <w:tc>
          <w:tcPr>
            <w:tcW w:type="dxa" w:w="2160"/>
          </w:tcPr>
          <w:p>
            <w:pPr>
              <w:jc w:val="center"/>
            </w:pPr>
            <w:r>
              <w:rPr>
                <w:rFonts w:ascii="Times New Roman" w:hAnsi="Times New Roman"/>
                <w:sz w:val="20"/>
              </w:rPr>
              <w:t>0,201 ± 0,009</w:t>
            </w:r>
          </w:p>
        </w:tc>
      </w:tr>
      <w:tr>
        <w:tc>
          <w:tcPr>
            <w:tcW w:type="dxa" w:w="2160"/>
          </w:tcPr>
          <w:p>
            <w:pPr>
              <w:jc w:val="left"/>
            </w:pPr>
            <w:r>
              <w:rPr>
                <w:rFonts w:ascii="Times New Roman" w:hAnsi="Times New Roman"/>
                <w:sz w:val="20"/>
              </w:rPr>
              <w:t>E4 — Peso seguridad alto</w:t>
            </w:r>
          </w:p>
        </w:tc>
        <w:tc>
          <w:tcPr>
            <w:tcW w:type="dxa" w:w="2160"/>
          </w:tcPr>
          <w:p>
            <w:pPr>
              <w:jc w:val="center"/>
            </w:pPr>
            <w:r>
              <w:rPr>
                <w:rFonts w:ascii="Times New Roman" w:hAnsi="Times New Roman"/>
                <w:sz w:val="20"/>
              </w:rPr>
              <w:t>0,762 ± 0,022</w:t>
            </w:r>
          </w:p>
        </w:tc>
        <w:tc>
          <w:tcPr>
            <w:tcW w:type="dxa" w:w="2160"/>
          </w:tcPr>
          <w:p>
            <w:pPr>
              <w:jc w:val="center"/>
            </w:pPr>
            <w:r>
              <w:rPr>
                <w:rFonts w:ascii="Times New Roman" w:hAnsi="Times New Roman"/>
                <w:sz w:val="20"/>
              </w:rPr>
              <w:t>0,786 ± 0,026</w:t>
            </w:r>
          </w:p>
        </w:tc>
        <w:tc>
          <w:tcPr>
            <w:tcW w:type="dxa" w:w="2160"/>
          </w:tcPr>
          <w:p>
            <w:pPr>
              <w:jc w:val="center"/>
            </w:pPr>
            <w:r>
              <w:rPr>
                <w:rFonts w:ascii="Times New Roman" w:hAnsi="Times New Roman"/>
                <w:sz w:val="20"/>
              </w:rPr>
              <w:t>0,201 ± 0,009</w:t>
            </w:r>
          </w:p>
        </w:tc>
      </w:tr>
      <w:tr>
        <w:tc>
          <w:tcPr>
            <w:tcW w:type="dxa" w:w="2160"/>
          </w:tcPr>
          <w:p>
            <w:pPr>
              <w:jc w:val="left"/>
            </w:pPr>
            <w:r>
              <w:rPr>
                <w:rFonts w:ascii="Times New Roman" w:hAnsi="Times New Roman"/>
                <w:sz w:val="20"/>
              </w:rPr>
              <w:t>E5 — Mezcla PM/CM 30/70</w:t>
            </w:r>
          </w:p>
        </w:tc>
        <w:tc>
          <w:tcPr>
            <w:tcW w:type="dxa" w:w="2160"/>
          </w:tcPr>
          <w:p>
            <w:pPr>
              <w:jc w:val="center"/>
            </w:pPr>
            <w:r>
              <w:rPr>
                <w:rFonts w:ascii="Times New Roman" w:hAnsi="Times New Roman"/>
                <w:sz w:val="20"/>
              </w:rPr>
              <w:t>0,762 ± 0,022</w:t>
            </w:r>
          </w:p>
        </w:tc>
        <w:tc>
          <w:tcPr>
            <w:tcW w:type="dxa" w:w="2160"/>
          </w:tcPr>
          <w:p>
            <w:pPr>
              <w:jc w:val="center"/>
            </w:pPr>
            <w:r>
              <w:rPr>
                <w:rFonts w:ascii="Times New Roman" w:hAnsi="Times New Roman"/>
                <w:sz w:val="20"/>
              </w:rPr>
              <w:t>0,786 ± 0,026</w:t>
            </w:r>
          </w:p>
        </w:tc>
        <w:tc>
          <w:tcPr>
            <w:tcW w:type="dxa" w:w="2160"/>
          </w:tcPr>
          <w:p>
            <w:pPr>
              <w:jc w:val="center"/>
            </w:pPr>
            <w:r>
              <w:rPr>
                <w:rFonts w:ascii="Times New Roman" w:hAnsi="Times New Roman"/>
                <w:sz w:val="20"/>
              </w:rPr>
              <w:t>0,201 ± 0,009</w:t>
            </w:r>
          </w:p>
        </w:tc>
      </w:tr>
      <w:tr>
        <w:tc>
          <w:tcPr>
            <w:tcW w:type="dxa" w:w="2160"/>
          </w:tcPr>
          <w:p>
            <w:pPr>
              <w:jc w:val="left"/>
            </w:pPr>
            <w:r>
              <w:rPr>
                <w:rFonts w:ascii="Times New Roman" w:hAnsi="Times New Roman"/>
                <w:sz w:val="20"/>
              </w:rPr>
              <w:t>Promedio global</w:t>
            </w:r>
          </w:p>
        </w:tc>
        <w:tc>
          <w:tcPr>
            <w:tcW w:type="dxa" w:w="2160"/>
          </w:tcPr>
          <w:p>
            <w:pPr>
              <w:jc w:val="center"/>
            </w:pPr>
            <w:r>
              <w:rPr>
                <w:rFonts w:ascii="Times New Roman" w:hAnsi="Times New Roman"/>
                <w:sz w:val="20"/>
              </w:rPr>
              <w:t>0,762 ± 0,024</w:t>
            </w:r>
          </w:p>
        </w:tc>
        <w:tc>
          <w:tcPr>
            <w:tcW w:type="dxa" w:w="2160"/>
          </w:tcPr>
          <w:p>
            <w:pPr>
              <w:jc w:val="center"/>
            </w:pPr>
            <w:r>
              <w:rPr>
                <w:rFonts w:ascii="Times New Roman" w:hAnsi="Times New Roman"/>
                <w:sz w:val="20"/>
              </w:rPr>
              <w:t>0,785 ± 0,028</w:t>
            </w:r>
          </w:p>
        </w:tc>
        <w:tc>
          <w:tcPr>
            <w:tcW w:type="dxa" w:w="2160"/>
          </w:tcPr>
          <w:p>
            <w:pPr>
              <w:jc w:val="center"/>
            </w:pPr>
            <w:r>
              <w:rPr>
                <w:rFonts w:ascii="Times New Roman" w:hAnsi="Times New Roman"/>
                <w:sz w:val="20"/>
              </w:rPr>
              <w:t>0,201 ± 0,010</w:t>
            </w:r>
          </w:p>
        </w:tc>
      </w:tr>
    </w:tbl>
    <w:p>
      <w:pPr>
        <w:jc w:val="center"/>
      </w:pPr>
      <w:r>
        <w:rPr>
          <w:rFonts w:ascii="Times New Roman" w:hAnsi="Times New Roman"/>
          <w:i/>
          <w:sz w:val="20"/>
        </w:rPr>
        <w:t>Tabla 2. Métricas del componente predictivo por escenario (n = 30 réplicas).</w:t>
      </w:r>
    </w:p>
    <w:p>
      <w:pPr>
        <w:jc w:val="center"/>
      </w:pPr>
      <w:r>
        <w:drawing>
          <wp:inline xmlns:a="http://schemas.openxmlformats.org/drawingml/2006/main" xmlns:pic="http://schemas.openxmlformats.org/drawingml/2006/picture">
            <wp:extent cx="5303520" cy="3182112"/>
            <wp:docPr id="1" name="Picture 1"/>
            <wp:cNvGraphicFramePr>
              <a:graphicFrameLocks noChangeAspect="1"/>
            </wp:cNvGraphicFramePr>
            <a:graphic>
              <a:graphicData uri="http://schemas.openxmlformats.org/drawingml/2006/picture">
                <pic:pic>
                  <pic:nvPicPr>
                    <pic:cNvPr id="0" name="calibracion_modelo.png"/>
                    <pic:cNvPicPr/>
                  </pic:nvPicPr>
                  <pic:blipFill>
                    <a:blip r:embed="rId9"/>
                    <a:stretch>
                      <a:fillRect/>
                    </a:stretch>
                  </pic:blipFill>
                  <pic:spPr>
                    <a:xfrm>
                      <a:off x="0" y="0"/>
                      <a:ext cx="5303520" cy="3182112"/>
                    </a:xfrm>
                    <a:prstGeom prst="rect"/>
                  </pic:spPr>
                </pic:pic>
              </a:graphicData>
            </a:graphic>
          </wp:inline>
        </w:drawing>
      </w:r>
    </w:p>
    <w:p>
      <w:pPr>
        <w:jc w:val="center"/>
      </w:pPr>
      <w:r>
        <w:rPr>
          <w:rFonts w:ascii="Times New Roman" w:hAnsi="Times New Roman"/>
          <w:i/>
          <w:sz w:val="20"/>
        </w:rPr>
        <w:t>Figura 1. Métricas del modelo predictivo por escenario (AUC, PR-AUC y Brier Score).</w:t>
      </w:r>
    </w:p>
    <w:p>
      <w:pPr>
        <w:jc w:val="both"/>
      </w:pPr>
      <w:r>
        <w:rPr>
          <w:rFonts w:ascii="Times New Roman" w:hAnsi="Times New Roman"/>
          <w:b w:val="0"/>
          <w:i w:val="0"/>
          <w:sz w:val="22"/>
        </w:rPr>
        <w:t>El AUC promedio global (0,762) supera el umbral conceptual de “tres de cada cuatro casos discriminados correctamente”, comparable con valores reportados en revisiones recientes de mantenimiento predictivo aplicado a manufactura y procesos (Carvalho et al., 2019; Zonta et al., 2020). El Brier Score promedio (0,201) confirma que la calibración isotónica produce probabilidades cuya frecuencia observada se ajusta a la frecuencia predicha, requisito crítico para que el puntaje multicriterio MCDA mantenga su validez (Niculescu-Mizil y Caruana, 2005).</w:t>
      </w:r>
    </w:p>
    <w:p>
      <w:pPr>
        <w:jc w:val="center"/>
      </w:pPr>
      <w:r>
        <w:drawing>
          <wp:inline xmlns:a="http://schemas.openxmlformats.org/drawingml/2006/main" xmlns:pic="http://schemas.openxmlformats.org/drawingml/2006/picture">
            <wp:extent cx="5303520" cy="3535680"/>
            <wp:docPr id="2" name="Picture 2"/>
            <wp:cNvGraphicFramePr>
              <a:graphicFrameLocks noChangeAspect="1"/>
            </wp:cNvGraphicFramePr>
            <a:graphic>
              <a:graphicData uri="http://schemas.openxmlformats.org/drawingml/2006/picture">
                <pic:pic>
                  <pic:nvPicPr>
                    <pic:cNvPr id="0" name="importancia_variables.png"/>
                    <pic:cNvPicPr/>
                  </pic:nvPicPr>
                  <pic:blipFill>
                    <a:blip r:embed="rId10"/>
                    <a:stretch>
                      <a:fillRect/>
                    </a:stretch>
                  </pic:blipFill>
                  <pic:spPr>
                    <a:xfrm>
                      <a:off x="0" y="0"/>
                      <a:ext cx="5303520" cy="3535680"/>
                    </a:xfrm>
                    <a:prstGeom prst="rect"/>
                  </pic:spPr>
                </pic:pic>
              </a:graphicData>
            </a:graphic>
          </wp:inline>
        </w:drawing>
      </w:r>
    </w:p>
    <w:p>
      <w:pPr>
        <w:jc w:val="center"/>
      </w:pPr>
      <w:r>
        <w:rPr>
          <w:rFonts w:ascii="Times New Roman" w:hAnsi="Times New Roman"/>
          <w:i/>
          <w:sz w:val="20"/>
        </w:rPr>
        <w:t>Figura 2. Coeficientes estandarizados de la regresión logística calibrada.</w:t>
      </w:r>
    </w:p>
    <w:p>
      <w:pPr>
        <w:jc w:val="both"/>
      </w:pPr>
      <w:r>
        <w:rPr>
          <w:rFonts w:ascii="Times New Roman" w:hAnsi="Times New Roman"/>
          <w:b w:val="0"/>
          <w:i w:val="0"/>
          <w:sz w:val="22"/>
        </w:rPr>
        <w:t>Las variables con mayor coeficiente estandarizado fueron uso_acumulado_pct, pm_vencidos y criticidad, en línea con lo esperado bajo el marco RCM (IEC, 2017): equipos con alto desgaste, tareas preventivas postergadas y mayor criticidad nominal incrementan la probabilidad de falla en el horizonte de siete días.</w:t>
      </w:r>
    </w:p>
    <w:p>
      <w:pPr>
        <w:pStyle w:val="Heading2"/>
      </w:pPr>
      <w:r>
        <w:rPr>
          <w:rFonts w:ascii="Times New Roman" w:hAnsi="Times New Roman"/>
          <w:color w:val="1F3A5F"/>
        </w:rPr>
        <w:t>6.3. Resultados de la optimización con restricciones (OE3)</w:t>
      </w:r>
    </w:p>
    <w:p>
      <w:pPr>
        <w:jc w:val="both"/>
      </w:pPr>
      <w:r>
        <w:rPr>
          <w:rFonts w:ascii="Times New Roman" w:hAnsi="Times New Roman"/>
          <w:b w:val="0"/>
          <w:i w:val="0"/>
          <w:sz w:val="22"/>
        </w:rPr>
        <w:t>El modelo prescriptivo se formuló como un problema de selección binaria (variante del knapsack multi-restricción, Pinedo, 2016) cuya función objetivo maximiza la suma del riesgo programado (Riesgo_WO = 0,5·Probabilidad + 0,3·Severidad + 0,2·Costo) sujeta a tres familias de restricciones: capacidad total de horas, capacidad por habilidad (instrumentista, mecánico, electricista) y disponibilidad de repuestos críticos. La resolución se ejecutó mediante programación lineal entera con CBC (PuLP) y, en su defecto, una heurística greedy con búsqueda local 2-swap; ambas rutas convergieron a soluciones equivalentes en la totalidad de las 150 corridas, dado el tamaño moderado del backlog.</w:t>
      </w:r>
    </w:p>
    <w:p>
      <w:pPr>
        <w:jc w:val="both"/>
      </w:pPr>
      <w:r>
        <w:rPr>
          <w:rFonts w:ascii="Times New Roman" w:hAnsi="Times New Roman"/>
          <w:b w:val="0"/>
          <w:i w:val="0"/>
          <w:sz w:val="22"/>
        </w:rPr>
        <w:t>El cumplimiento de las restricciones se verificó mediante dos indicadores de control: el porcentaje de cumplimiento de ventanas de ejecución y el número de violaciones por repuesto no disponible. La Tabla 3 evidencia que ambas restricciones se respetaron al 100 % en los cinco escenarios, validando la factibilidad operativa del plan generado.</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3A5F"/>
            <w:vAlign w:val="center"/>
          </w:tcPr>
          <w:p>
            <w:pPr>
              <w:jc w:val="center"/>
            </w:pPr>
            <w:r>
              <w:rPr>
                <w:rFonts w:ascii="Times New Roman" w:hAnsi="Times New Roman"/>
                <w:b/>
                <w:color w:val="FFFFFF"/>
                <w:sz w:val="20"/>
              </w:rPr>
              <w:t>Escenario</w:t>
            </w:r>
          </w:p>
        </w:tc>
        <w:tc>
          <w:tcPr>
            <w:tcW w:type="dxa" w:w="2160"/>
            <w:shd w:val="clear" w:color="auto" w:fill="1F3A5F"/>
            <w:vAlign w:val="center"/>
          </w:tcPr>
          <w:p>
            <w:pPr>
              <w:jc w:val="center"/>
            </w:pPr>
            <w:r>
              <w:rPr>
                <w:rFonts w:ascii="Times New Roman" w:hAnsi="Times New Roman"/>
                <w:b/>
                <w:color w:val="FFFFFF"/>
                <w:sz w:val="20"/>
              </w:rPr>
              <w:t>Cumplimiento ventanas (%)</w:t>
            </w:r>
          </w:p>
        </w:tc>
        <w:tc>
          <w:tcPr>
            <w:tcW w:type="dxa" w:w="2160"/>
            <w:shd w:val="clear" w:color="auto" w:fill="1F3A5F"/>
            <w:vAlign w:val="center"/>
          </w:tcPr>
          <w:p>
            <w:pPr>
              <w:jc w:val="center"/>
            </w:pPr>
            <w:r>
              <w:rPr>
                <w:rFonts w:ascii="Times New Roman" w:hAnsi="Times New Roman"/>
                <w:b/>
                <w:color w:val="FFFFFF"/>
                <w:sz w:val="20"/>
              </w:rPr>
              <w:t>Violaciones de repuestos</w:t>
            </w:r>
          </w:p>
        </w:tc>
        <w:tc>
          <w:tcPr>
            <w:tcW w:type="dxa" w:w="2160"/>
            <w:shd w:val="clear" w:color="auto" w:fill="1F3A5F"/>
            <w:vAlign w:val="center"/>
          </w:tcPr>
          <w:p>
            <w:pPr>
              <w:jc w:val="center"/>
            </w:pPr>
            <w:r>
              <w:rPr>
                <w:rFonts w:ascii="Times New Roman" w:hAnsi="Times New Roman"/>
                <w:b/>
                <w:color w:val="FFFFFF"/>
                <w:sz w:val="20"/>
              </w:rPr>
              <w:t>Utilización total (%)</w:t>
            </w:r>
          </w:p>
        </w:tc>
      </w:tr>
      <w:tr>
        <w:tc>
          <w:tcPr>
            <w:tcW w:type="dxa" w:w="2160"/>
          </w:tcPr>
          <w:p>
            <w:pPr>
              <w:jc w:val="left"/>
            </w:pPr>
            <w:r>
              <w:rPr>
                <w:rFonts w:ascii="Times New Roman" w:hAnsi="Times New Roman"/>
                <w:sz w:val="20"/>
              </w:rPr>
              <w:t>E1</w:t>
            </w:r>
          </w:p>
        </w:tc>
        <w:tc>
          <w:tcPr>
            <w:tcW w:type="dxa" w:w="2160"/>
          </w:tcPr>
          <w:p>
            <w:pPr>
              <w:jc w:val="center"/>
            </w:pPr>
            <w:r>
              <w:rPr>
                <w:rFonts w:ascii="Times New Roman" w:hAnsi="Times New Roman"/>
                <w:sz w:val="20"/>
              </w:rPr>
              <w:t>100,0</w:t>
            </w:r>
          </w:p>
        </w:tc>
        <w:tc>
          <w:tcPr>
            <w:tcW w:type="dxa" w:w="2160"/>
          </w:tcPr>
          <w:p>
            <w:pPr>
              <w:jc w:val="center"/>
            </w:pPr>
            <w:r>
              <w:rPr>
                <w:rFonts w:ascii="Times New Roman" w:hAnsi="Times New Roman"/>
                <w:sz w:val="20"/>
              </w:rPr>
              <w:t>0</w:t>
            </w:r>
          </w:p>
        </w:tc>
        <w:tc>
          <w:tcPr>
            <w:tcW w:type="dxa" w:w="2160"/>
          </w:tcPr>
          <w:p>
            <w:pPr>
              <w:jc w:val="center"/>
            </w:pPr>
            <w:r>
              <w:rPr>
                <w:rFonts w:ascii="Times New Roman" w:hAnsi="Times New Roman"/>
                <w:sz w:val="20"/>
              </w:rPr>
              <w:t>77,1</w:t>
            </w:r>
          </w:p>
        </w:tc>
      </w:tr>
      <w:tr>
        <w:tc>
          <w:tcPr>
            <w:tcW w:type="dxa" w:w="2160"/>
          </w:tcPr>
          <w:p>
            <w:pPr>
              <w:jc w:val="left"/>
            </w:pPr>
            <w:r>
              <w:rPr>
                <w:rFonts w:ascii="Times New Roman" w:hAnsi="Times New Roman"/>
                <w:sz w:val="20"/>
              </w:rPr>
              <w:t>E2</w:t>
            </w:r>
          </w:p>
        </w:tc>
        <w:tc>
          <w:tcPr>
            <w:tcW w:type="dxa" w:w="2160"/>
          </w:tcPr>
          <w:p>
            <w:pPr>
              <w:jc w:val="center"/>
            </w:pPr>
            <w:r>
              <w:rPr>
                <w:rFonts w:ascii="Times New Roman" w:hAnsi="Times New Roman"/>
                <w:sz w:val="20"/>
              </w:rPr>
              <w:t>100,0</w:t>
            </w:r>
          </w:p>
        </w:tc>
        <w:tc>
          <w:tcPr>
            <w:tcW w:type="dxa" w:w="2160"/>
          </w:tcPr>
          <w:p>
            <w:pPr>
              <w:jc w:val="center"/>
            </w:pPr>
            <w:r>
              <w:rPr>
                <w:rFonts w:ascii="Times New Roman" w:hAnsi="Times New Roman"/>
                <w:sz w:val="20"/>
              </w:rPr>
              <w:t>0</w:t>
            </w:r>
          </w:p>
        </w:tc>
        <w:tc>
          <w:tcPr>
            <w:tcW w:type="dxa" w:w="2160"/>
          </w:tcPr>
          <w:p>
            <w:pPr>
              <w:jc w:val="center"/>
            </w:pPr>
            <w:r>
              <w:rPr>
                <w:rFonts w:ascii="Times New Roman" w:hAnsi="Times New Roman"/>
                <w:sz w:val="20"/>
              </w:rPr>
              <w:t>84,7</w:t>
            </w:r>
          </w:p>
        </w:tc>
      </w:tr>
      <w:tr>
        <w:tc>
          <w:tcPr>
            <w:tcW w:type="dxa" w:w="2160"/>
          </w:tcPr>
          <w:p>
            <w:pPr>
              <w:jc w:val="left"/>
            </w:pPr>
            <w:r>
              <w:rPr>
                <w:rFonts w:ascii="Times New Roman" w:hAnsi="Times New Roman"/>
                <w:sz w:val="20"/>
              </w:rPr>
              <w:t>E3</w:t>
            </w:r>
          </w:p>
        </w:tc>
        <w:tc>
          <w:tcPr>
            <w:tcW w:type="dxa" w:w="2160"/>
          </w:tcPr>
          <w:p>
            <w:pPr>
              <w:jc w:val="center"/>
            </w:pPr>
            <w:r>
              <w:rPr>
                <w:rFonts w:ascii="Times New Roman" w:hAnsi="Times New Roman"/>
                <w:sz w:val="20"/>
              </w:rPr>
              <w:t>100,0</w:t>
            </w:r>
          </w:p>
        </w:tc>
        <w:tc>
          <w:tcPr>
            <w:tcW w:type="dxa" w:w="2160"/>
          </w:tcPr>
          <w:p>
            <w:pPr>
              <w:jc w:val="center"/>
            </w:pPr>
            <w:r>
              <w:rPr>
                <w:rFonts w:ascii="Times New Roman" w:hAnsi="Times New Roman"/>
                <w:sz w:val="20"/>
              </w:rPr>
              <w:t>0</w:t>
            </w:r>
          </w:p>
        </w:tc>
        <w:tc>
          <w:tcPr>
            <w:tcW w:type="dxa" w:w="2160"/>
          </w:tcPr>
          <w:p>
            <w:pPr>
              <w:jc w:val="center"/>
            </w:pPr>
            <w:r>
              <w:rPr>
                <w:rFonts w:ascii="Times New Roman" w:hAnsi="Times New Roman"/>
                <w:sz w:val="20"/>
              </w:rPr>
              <w:t>80,4</w:t>
            </w:r>
          </w:p>
        </w:tc>
      </w:tr>
      <w:tr>
        <w:tc>
          <w:tcPr>
            <w:tcW w:type="dxa" w:w="2160"/>
          </w:tcPr>
          <w:p>
            <w:pPr>
              <w:jc w:val="left"/>
            </w:pPr>
            <w:r>
              <w:rPr>
                <w:rFonts w:ascii="Times New Roman" w:hAnsi="Times New Roman"/>
                <w:sz w:val="20"/>
              </w:rPr>
              <w:t>E4</w:t>
            </w:r>
          </w:p>
        </w:tc>
        <w:tc>
          <w:tcPr>
            <w:tcW w:type="dxa" w:w="2160"/>
          </w:tcPr>
          <w:p>
            <w:pPr>
              <w:jc w:val="center"/>
            </w:pPr>
            <w:r>
              <w:rPr>
                <w:rFonts w:ascii="Times New Roman" w:hAnsi="Times New Roman"/>
                <w:sz w:val="20"/>
              </w:rPr>
              <w:t>100,0</w:t>
            </w:r>
          </w:p>
        </w:tc>
        <w:tc>
          <w:tcPr>
            <w:tcW w:type="dxa" w:w="2160"/>
          </w:tcPr>
          <w:p>
            <w:pPr>
              <w:jc w:val="center"/>
            </w:pPr>
            <w:r>
              <w:rPr>
                <w:rFonts w:ascii="Times New Roman" w:hAnsi="Times New Roman"/>
                <w:sz w:val="20"/>
              </w:rPr>
              <w:t>0</w:t>
            </w:r>
          </w:p>
        </w:tc>
        <w:tc>
          <w:tcPr>
            <w:tcW w:type="dxa" w:w="2160"/>
          </w:tcPr>
          <w:p>
            <w:pPr>
              <w:jc w:val="center"/>
            </w:pPr>
            <w:r>
              <w:rPr>
                <w:rFonts w:ascii="Times New Roman" w:hAnsi="Times New Roman"/>
                <w:sz w:val="20"/>
              </w:rPr>
              <w:t>73,4</w:t>
            </w:r>
          </w:p>
        </w:tc>
      </w:tr>
      <w:tr>
        <w:tc>
          <w:tcPr>
            <w:tcW w:type="dxa" w:w="2160"/>
          </w:tcPr>
          <w:p>
            <w:pPr>
              <w:jc w:val="left"/>
            </w:pPr>
            <w:r>
              <w:rPr>
                <w:rFonts w:ascii="Times New Roman" w:hAnsi="Times New Roman"/>
                <w:sz w:val="20"/>
              </w:rPr>
              <w:t>E5</w:t>
            </w:r>
          </w:p>
        </w:tc>
        <w:tc>
          <w:tcPr>
            <w:tcW w:type="dxa" w:w="2160"/>
          </w:tcPr>
          <w:p>
            <w:pPr>
              <w:jc w:val="center"/>
            </w:pPr>
            <w:r>
              <w:rPr>
                <w:rFonts w:ascii="Times New Roman" w:hAnsi="Times New Roman"/>
                <w:sz w:val="20"/>
              </w:rPr>
              <w:t>100,0</w:t>
            </w:r>
          </w:p>
        </w:tc>
        <w:tc>
          <w:tcPr>
            <w:tcW w:type="dxa" w:w="2160"/>
          </w:tcPr>
          <w:p>
            <w:pPr>
              <w:jc w:val="center"/>
            </w:pPr>
            <w:r>
              <w:rPr>
                <w:rFonts w:ascii="Times New Roman" w:hAnsi="Times New Roman"/>
                <w:sz w:val="20"/>
              </w:rPr>
              <w:t>0</w:t>
            </w:r>
          </w:p>
        </w:tc>
        <w:tc>
          <w:tcPr>
            <w:tcW w:type="dxa" w:w="2160"/>
          </w:tcPr>
          <w:p>
            <w:pPr>
              <w:jc w:val="center"/>
            </w:pPr>
            <w:r>
              <w:rPr>
                <w:rFonts w:ascii="Times New Roman" w:hAnsi="Times New Roman"/>
                <w:sz w:val="20"/>
              </w:rPr>
              <w:t>78,3</w:t>
            </w:r>
          </w:p>
        </w:tc>
      </w:tr>
    </w:tbl>
    <w:p>
      <w:pPr>
        <w:jc w:val="center"/>
      </w:pPr>
      <w:r>
        <w:rPr>
          <w:rFonts w:ascii="Times New Roman" w:hAnsi="Times New Roman"/>
          <w:i/>
          <w:sz w:val="20"/>
        </w:rPr>
        <w:t>Tabla 3. Cumplimiento de restricciones operativas y utilización promedio del modelo.</w:t>
      </w:r>
    </w:p>
    <w:p>
      <w:pPr>
        <w:pStyle w:val="Heading2"/>
      </w:pPr>
      <w:r>
        <w:rPr>
          <w:rFonts w:ascii="Times New Roman" w:hAnsi="Times New Roman"/>
          <w:color w:val="1F3A5F"/>
        </w:rPr>
        <w:t>6.4. Comparación frente a reglas tradicionales (OE4)</w:t>
      </w:r>
    </w:p>
    <w:p>
      <w:pPr>
        <w:jc w:val="both"/>
      </w:pPr>
      <w:r>
        <w:rPr>
          <w:rFonts w:ascii="Times New Roman" w:hAnsi="Times New Roman"/>
          <w:b w:val="0"/>
          <w:i w:val="0"/>
          <w:sz w:val="22"/>
        </w:rPr>
        <w:t>La comparación entre el modelo propuesto y la política baseline (orden por prioridad nominal y fecha de creación) se realizó conservando las mismas restricciones operativas, lo que permite atribuir la diferencia de desempeño exclusivamente al criterio de priorización. La Tabla 4 presenta el indicador principal —riesgo residual al cierre de la semana— como media y desviación estándar acompañadas del intervalo de confianza al 95 %.</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3A5F"/>
            <w:vAlign w:val="center"/>
          </w:tcPr>
          <w:p>
            <w:pPr>
              <w:jc w:val="center"/>
            </w:pPr>
            <w:r>
              <w:rPr>
                <w:rFonts w:ascii="Times New Roman" w:hAnsi="Times New Roman"/>
                <w:b/>
                <w:color w:val="FFFFFF"/>
                <w:sz w:val="20"/>
              </w:rPr>
              <w:t>Escenario</w:t>
            </w:r>
          </w:p>
        </w:tc>
        <w:tc>
          <w:tcPr>
            <w:tcW w:type="dxa" w:w="1728"/>
            <w:shd w:val="clear" w:color="auto" w:fill="1F3A5F"/>
            <w:vAlign w:val="center"/>
          </w:tcPr>
          <w:p>
            <w:pPr>
              <w:jc w:val="center"/>
            </w:pPr>
            <w:r>
              <w:rPr>
                <w:rFonts w:ascii="Times New Roman" w:hAnsi="Times New Roman"/>
                <w:b/>
                <w:color w:val="FFFFFF"/>
                <w:sz w:val="20"/>
              </w:rPr>
              <w:t>Riesgo residual Baseline (IC95 %)</w:t>
            </w:r>
          </w:p>
        </w:tc>
        <w:tc>
          <w:tcPr>
            <w:tcW w:type="dxa" w:w="1728"/>
            <w:shd w:val="clear" w:color="auto" w:fill="1F3A5F"/>
            <w:vAlign w:val="center"/>
          </w:tcPr>
          <w:p>
            <w:pPr>
              <w:jc w:val="center"/>
            </w:pPr>
            <w:r>
              <w:rPr>
                <w:rFonts w:ascii="Times New Roman" w:hAnsi="Times New Roman"/>
                <w:b/>
                <w:color w:val="FFFFFF"/>
                <w:sz w:val="20"/>
              </w:rPr>
              <w:t>Riesgo residual Modelo (IC95 %)</w:t>
            </w:r>
          </w:p>
        </w:tc>
        <w:tc>
          <w:tcPr>
            <w:tcW w:type="dxa" w:w="1728"/>
            <w:shd w:val="clear" w:color="auto" w:fill="1F3A5F"/>
            <w:vAlign w:val="center"/>
          </w:tcPr>
          <w:p>
            <w:pPr>
              <w:jc w:val="center"/>
            </w:pPr>
            <w:r>
              <w:rPr>
                <w:rFonts w:ascii="Times New Roman" w:hAnsi="Times New Roman"/>
                <w:b/>
                <w:color w:val="FFFFFF"/>
                <w:sz w:val="20"/>
              </w:rPr>
              <w:t>Reducción media (%)</w:t>
            </w:r>
          </w:p>
        </w:tc>
        <w:tc>
          <w:tcPr>
            <w:tcW w:type="dxa" w:w="1728"/>
            <w:shd w:val="clear" w:color="auto" w:fill="1F3A5F"/>
            <w:vAlign w:val="center"/>
          </w:tcPr>
          <w:p>
            <w:pPr>
              <w:jc w:val="center"/>
            </w:pPr>
            <w:r>
              <w:rPr>
                <w:rFonts w:ascii="Times New Roman" w:hAnsi="Times New Roman"/>
                <w:b/>
                <w:color w:val="FFFFFF"/>
                <w:sz w:val="20"/>
              </w:rPr>
              <w:t>p-valor*</w:t>
            </w:r>
          </w:p>
        </w:tc>
      </w:tr>
      <w:tr>
        <w:tc>
          <w:tcPr>
            <w:tcW w:type="dxa" w:w="1728"/>
          </w:tcPr>
          <w:p>
            <w:pPr>
              <w:jc w:val="left"/>
            </w:pPr>
            <w:r>
              <w:rPr>
                <w:rFonts w:ascii="Times New Roman" w:hAnsi="Times New Roman"/>
                <w:sz w:val="20"/>
              </w:rPr>
              <w:t>E1</w:t>
            </w:r>
          </w:p>
        </w:tc>
        <w:tc>
          <w:tcPr>
            <w:tcW w:type="dxa" w:w="1728"/>
          </w:tcPr>
          <w:p>
            <w:pPr>
              <w:jc w:val="center"/>
            </w:pPr>
            <w:r>
              <w:rPr>
                <w:rFonts w:ascii="Times New Roman" w:hAnsi="Times New Roman"/>
                <w:sz w:val="20"/>
              </w:rPr>
              <w:t>9,39 [7,35–11,43]</w:t>
            </w:r>
          </w:p>
        </w:tc>
        <w:tc>
          <w:tcPr>
            <w:tcW w:type="dxa" w:w="1728"/>
          </w:tcPr>
          <w:p>
            <w:pPr>
              <w:jc w:val="center"/>
            </w:pPr>
            <w:r>
              <w:rPr>
                <w:rFonts w:ascii="Times New Roman" w:hAnsi="Times New Roman"/>
                <w:sz w:val="20"/>
              </w:rPr>
              <w:t>8,28 [6,56–9,99]</w:t>
            </w:r>
          </w:p>
        </w:tc>
        <w:tc>
          <w:tcPr>
            <w:tcW w:type="dxa" w:w="1728"/>
          </w:tcPr>
          <w:p>
            <w:pPr>
              <w:jc w:val="center"/>
            </w:pPr>
            <w:r>
              <w:rPr>
                <w:rFonts w:ascii="Times New Roman" w:hAnsi="Times New Roman"/>
                <w:sz w:val="20"/>
              </w:rPr>
              <w:t>9,01</w:t>
            </w:r>
          </w:p>
        </w:tc>
        <w:tc>
          <w:tcPr>
            <w:tcW w:type="dxa" w:w="1728"/>
          </w:tcPr>
          <w:p>
            <w:pPr>
              <w:jc w:val="center"/>
            </w:pPr>
            <w:r>
              <w:rPr>
                <w:rFonts w:ascii="Times New Roman" w:hAnsi="Times New Roman"/>
                <w:sz w:val="20"/>
              </w:rPr>
              <w:t>&lt; 0,001</w:t>
            </w:r>
          </w:p>
        </w:tc>
      </w:tr>
      <w:tr>
        <w:tc>
          <w:tcPr>
            <w:tcW w:type="dxa" w:w="1728"/>
          </w:tcPr>
          <w:p>
            <w:pPr>
              <w:jc w:val="left"/>
            </w:pPr>
            <w:r>
              <w:rPr>
                <w:rFonts w:ascii="Times New Roman" w:hAnsi="Times New Roman"/>
                <w:sz w:val="20"/>
              </w:rPr>
              <w:t>E2</w:t>
            </w:r>
          </w:p>
        </w:tc>
        <w:tc>
          <w:tcPr>
            <w:tcW w:type="dxa" w:w="1728"/>
          </w:tcPr>
          <w:p>
            <w:pPr>
              <w:jc w:val="center"/>
            </w:pPr>
            <w:r>
              <w:rPr>
                <w:rFonts w:ascii="Times New Roman" w:hAnsi="Times New Roman"/>
                <w:sz w:val="20"/>
              </w:rPr>
              <w:t>10,79 [8,16–13,43]</w:t>
            </w:r>
          </w:p>
        </w:tc>
        <w:tc>
          <w:tcPr>
            <w:tcW w:type="dxa" w:w="1728"/>
          </w:tcPr>
          <w:p>
            <w:pPr>
              <w:jc w:val="center"/>
            </w:pPr>
            <w:r>
              <w:rPr>
                <w:rFonts w:ascii="Times New Roman" w:hAnsi="Times New Roman"/>
                <w:sz w:val="20"/>
              </w:rPr>
              <w:t>8,97 [6,96–10,98]</w:t>
            </w:r>
          </w:p>
        </w:tc>
        <w:tc>
          <w:tcPr>
            <w:tcW w:type="dxa" w:w="1728"/>
          </w:tcPr>
          <w:p>
            <w:pPr>
              <w:jc w:val="center"/>
            </w:pPr>
            <w:r>
              <w:rPr>
                <w:rFonts w:ascii="Times New Roman" w:hAnsi="Times New Roman"/>
                <w:sz w:val="20"/>
              </w:rPr>
              <w:t>12,95</w:t>
            </w:r>
          </w:p>
        </w:tc>
        <w:tc>
          <w:tcPr>
            <w:tcW w:type="dxa" w:w="1728"/>
          </w:tcPr>
          <w:p>
            <w:pPr>
              <w:jc w:val="center"/>
            </w:pPr>
            <w:r>
              <w:rPr>
                <w:rFonts w:ascii="Times New Roman" w:hAnsi="Times New Roman"/>
                <w:sz w:val="20"/>
              </w:rPr>
              <w:t>&lt; 0,001</w:t>
            </w:r>
          </w:p>
        </w:tc>
      </w:tr>
      <w:tr>
        <w:tc>
          <w:tcPr>
            <w:tcW w:type="dxa" w:w="1728"/>
          </w:tcPr>
          <w:p>
            <w:pPr>
              <w:jc w:val="left"/>
            </w:pPr>
            <w:r>
              <w:rPr>
                <w:rFonts w:ascii="Times New Roman" w:hAnsi="Times New Roman"/>
                <w:sz w:val="20"/>
              </w:rPr>
              <w:t>E3</w:t>
            </w:r>
          </w:p>
        </w:tc>
        <w:tc>
          <w:tcPr>
            <w:tcW w:type="dxa" w:w="1728"/>
          </w:tcPr>
          <w:p>
            <w:pPr>
              <w:jc w:val="center"/>
            </w:pPr>
            <w:r>
              <w:rPr>
                <w:rFonts w:ascii="Times New Roman" w:hAnsi="Times New Roman"/>
                <w:sz w:val="20"/>
              </w:rPr>
              <w:t>11,93 [9,89–13,97]</w:t>
            </w:r>
          </w:p>
        </w:tc>
        <w:tc>
          <w:tcPr>
            <w:tcW w:type="dxa" w:w="1728"/>
          </w:tcPr>
          <w:p>
            <w:pPr>
              <w:jc w:val="center"/>
            </w:pPr>
            <w:r>
              <w:rPr>
                <w:rFonts w:ascii="Times New Roman" w:hAnsi="Times New Roman"/>
                <w:sz w:val="20"/>
              </w:rPr>
              <w:t>10,14 [8,47–11,80]</w:t>
            </w:r>
          </w:p>
        </w:tc>
        <w:tc>
          <w:tcPr>
            <w:tcW w:type="dxa" w:w="1728"/>
          </w:tcPr>
          <w:p>
            <w:pPr>
              <w:jc w:val="center"/>
            </w:pPr>
            <w:r>
              <w:rPr>
                <w:rFonts w:ascii="Times New Roman" w:hAnsi="Times New Roman"/>
                <w:sz w:val="20"/>
              </w:rPr>
              <w:t>13,37</w:t>
            </w:r>
          </w:p>
        </w:tc>
        <w:tc>
          <w:tcPr>
            <w:tcW w:type="dxa" w:w="1728"/>
          </w:tcPr>
          <w:p>
            <w:pPr>
              <w:jc w:val="center"/>
            </w:pPr>
            <w:r>
              <w:rPr>
                <w:rFonts w:ascii="Times New Roman" w:hAnsi="Times New Roman"/>
                <w:sz w:val="20"/>
              </w:rPr>
              <w:t>&lt; 0,001</w:t>
            </w:r>
          </w:p>
        </w:tc>
      </w:tr>
      <w:tr>
        <w:tc>
          <w:tcPr>
            <w:tcW w:type="dxa" w:w="1728"/>
          </w:tcPr>
          <w:p>
            <w:pPr>
              <w:jc w:val="left"/>
            </w:pPr>
            <w:r>
              <w:rPr>
                <w:rFonts w:ascii="Times New Roman" w:hAnsi="Times New Roman"/>
                <w:sz w:val="20"/>
              </w:rPr>
              <w:t>E4</w:t>
            </w:r>
          </w:p>
        </w:tc>
        <w:tc>
          <w:tcPr>
            <w:tcW w:type="dxa" w:w="1728"/>
          </w:tcPr>
          <w:p>
            <w:pPr>
              <w:jc w:val="center"/>
            </w:pPr>
            <w:r>
              <w:rPr>
                <w:rFonts w:ascii="Times New Roman" w:hAnsi="Times New Roman"/>
                <w:sz w:val="20"/>
              </w:rPr>
              <w:t>8,63 [6,47–10,80]</w:t>
            </w:r>
          </w:p>
        </w:tc>
        <w:tc>
          <w:tcPr>
            <w:tcW w:type="dxa" w:w="1728"/>
          </w:tcPr>
          <w:p>
            <w:pPr>
              <w:jc w:val="center"/>
            </w:pPr>
            <w:r>
              <w:rPr>
                <w:rFonts w:ascii="Times New Roman" w:hAnsi="Times New Roman"/>
                <w:sz w:val="20"/>
              </w:rPr>
              <w:t>7,06 [5,48–8,65]</w:t>
            </w:r>
          </w:p>
        </w:tc>
        <w:tc>
          <w:tcPr>
            <w:tcW w:type="dxa" w:w="1728"/>
          </w:tcPr>
          <w:p>
            <w:pPr>
              <w:jc w:val="center"/>
            </w:pPr>
            <w:r>
              <w:rPr>
                <w:rFonts w:ascii="Times New Roman" w:hAnsi="Times New Roman"/>
                <w:sz w:val="20"/>
              </w:rPr>
              <w:t>12,39</w:t>
            </w:r>
          </w:p>
        </w:tc>
        <w:tc>
          <w:tcPr>
            <w:tcW w:type="dxa" w:w="1728"/>
          </w:tcPr>
          <w:p>
            <w:pPr>
              <w:jc w:val="center"/>
            </w:pPr>
            <w:r>
              <w:rPr>
                <w:rFonts w:ascii="Times New Roman" w:hAnsi="Times New Roman"/>
                <w:sz w:val="20"/>
              </w:rPr>
              <w:t>&lt; 0,001</w:t>
            </w:r>
          </w:p>
        </w:tc>
      </w:tr>
      <w:tr>
        <w:tc>
          <w:tcPr>
            <w:tcW w:type="dxa" w:w="1728"/>
          </w:tcPr>
          <w:p>
            <w:pPr>
              <w:jc w:val="left"/>
            </w:pPr>
            <w:r>
              <w:rPr>
                <w:rFonts w:ascii="Times New Roman" w:hAnsi="Times New Roman"/>
                <w:sz w:val="20"/>
              </w:rPr>
              <w:t>E5</w:t>
            </w:r>
          </w:p>
        </w:tc>
        <w:tc>
          <w:tcPr>
            <w:tcW w:type="dxa" w:w="1728"/>
          </w:tcPr>
          <w:p>
            <w:pPr>
              <w:jc w:val="center"/>
            </w:pPr>
            <w:r>
              <w:rPr>
                <w:rFonts w:ascii="Times New Roman" w:hAnsi="Times New Roman"/>
                <w:sz w:val="20"/>
              </w:rPr>
              <w:t>9,39 [7,48–11,30]</w:t>
            </w:r>
          </w:p>
        </w:tc>
        <w:tc>
          <w:tcPr>
            <w:tcW w:type="dxa" w:w="1728"/>
          </w:tcPr>
          <w:p>
            <w:pPr>
              <w:jc w:val="center"/>
            </w:pPr>
            <w:r>
              <w:rPr>
                <w:rFonts w:ascii="Times New Roman" w:hAnsi="Times New Roman"/>
                <w:sz w:val="20"/>
              </w:rPr>
              <w:t>8,07 [6,51–9,62]</w:t>
            </w:r>
          </w:p>
        </w:tc>
        <w:tc>
          <w:tcPr>
            <w:tcW w:type="dxa" w:w="1728"/>
          </w:tcPr>
          <w:p>
            <w:pPr>
              <w:jc w:val="center"/>
            </w:pPr>
            <w:r>
              <w:rPr>
                <w:rFonts w:ascii="Times New Roman" w:hAnsi="Times New Roman"/>
                <w:sz w:val="20"/>
              </w:rPr>
              <w:t>12,14</w:t>
            </w:r>
          </w:p>
        </w:tc>
        <w:tc>
          <w:tcPr>
            <w:tcW w:type="dxa" w:w="1728"/>
          </w:tcPr>
          <w:p>
            <w:pPr>
              <w:jc w:val="center"/>
            </w:pPr>
            <w:r>
              <w:rPr>
                <w:rFonts w:ascii="Times New Roman" w:hAnsi="Times New Roman"/>
                <w:sz w:val="20"/>
              </w:rPr>
              <w:t>&lt; 0,001</w:t>
            </w:r>
          </w:p>
        </w:tc>
      </w:tr>
    </w:tbl>
    <w:p>
      <w:pPr>
        <w:jc w:val="center"/>
      </w:pPr>
      <w:r>
        <w:rPr>
          <w:rFonts w:ascii="Times New Roman" w:hAnsi="Times New Roman"/>
          <w:i/>
          <w:sz w:val="20"/>
        </w:rPr>
        <w:t>Tabla 4. Riesgo residual del backlog: Baseline vs. Modelo (n = 30 réplicas por escenario). *Prueba t de Student pareada, hipótesis nula: μ_Baseline = μ_Modelo.</w:t>
      </w:r>
    </w:p>
    <w:p>
      <w:pPr>
        <w:jc w:val="both"/>
      </w:pPr>
      <w:r>
        <w:rPr>
          <w:rFonts w:ascii="Times New Roman" w:hAnsi="Times New Roman"/>
          <w:b w:val="0"/>
          <w:i w:val="0"/>
          <w:sz w:val="22"/>
        </w:rPr>
        <w:t>La diferencia entre métodos resultó estadísticamente significativa en los cinco escenarios (p &lt; 0,001), con un estadístico t pareado entre 4,46 y 5,72. La reducción promedio del riesgo residual osciló entre 9,01 % (E1) y 13,37 % (E3), siendo más pronunciada en escenarios con recursos restringidos o políticas de seguridad reforzadas. La dispersión observada (DE entre 7,15 % y 11,32 %) mostró que en réplicas individuales la reducción alcanzó valores máximos de 38,65 % (E4) y 41,56 % (E5), lo que indica que cuando el backlog presenta alta concentración de WO de bajo valor relativo, el ordenamiento basado en riesgo aporta ganancias muy superiores al promedio.</w:t>
      </w:r>
    </w:p>
    <w:p>
      <w:pPr>
        <w:jc w:val="center"/>
      </w:pPr>
      <w:r>
        <w:drawing>
          <wp:inline xmlns:a="http://schemas.openxmlformats.org/drawingml/2006/main" xmlns:pic="http://schemas.openxmlformats.org/drawingml/2006/picture">
            <wp:extent cx="5303520" cy="2620563"/>
            <wp:docPr id="3" name="Picture 3"/>
            <wp:cNvGraphicFramePr>
              <a:graphicFrameLocks noChangeAspect="1"/>
            </wp:cNvGraphicFramePr>
            <a:graphic>
              <a:graphicData uri="http://schemas.openxmlformats.org/drawingml/2006/picture">
                <pic:pic>
                  <pic:nvPicPr>
                    <pic:cNvPr id="0" name="barras_reduccion_riesgo.png"/>
                    <pic:cNvPicPr/>
                  </pic:nvPicPr>
                  <pic:blipFill>
                    <a:blip r:embed="rId11"/>
                    <a:stretch>
                      <a:fillRect/>
                    </a:stretch>
                  </pic:blipFill>
                  <pic:spPr>
                    <a:xfrm>
                      <a:off x="0" y="0"/>
                      <a:ext cx="5303520" cy="2620563"/>
                    </a:xfrm>
                    <a:prstGeom prst="rect"/>
                  </pic:spPr>
                </pic:pic>
              </a:graphicData>
            </a:graphic>
          </wp:inline>
        </w:drawing>
      </w:r>
    </w:p>
    <w:p>
      <w:pPr>
        <w:jc w:val="center"/>
      </w:pPr>
      <w:r>
        <w:rPr>
          <w:rFonts w:ascii="Times New Roman" w:hAnsi="Times New Roman"/>
          <w:i/>
          <w:sz w:val="20"/>
        </w:rPr>
        <w:t>Figura 3. Reducción media del riesgo residual del backlog frente al baseline.</w:t>
      </w:r>
    </w:p>
    <w:p>
      <w:pPr>
        <w:jc w:val="center"/>
      </w:pPr>
      <w:r>
        <w:drawing>
          <wp:inline xmlns:a="http://schemas.openxmlformats.org/drawingml/2006/main" xmlns:pic="http://schemas.openxmlformats.org/drawingml/2006/picture">
            <wp:extent cx="5303520" cy="2620563"/>
            <wp:docPr id="4" name="Picture 4"/>
            <wp:cNvGraphicFramePr>
              <a:graphicFrameLocks noChangeAspect="1"/>
            </wp:cNvGraphicFramePr>
            <a:graphic>
              <a:graphicData uri="http://schemas.openxmlformats.org/drawingml/2006/picture">
                <pic:pic>
                  <pic:nvPicPr>
                    <pic:cNvPr id="0" name="boxplot_riesgo_residual.png"/>
                    <pic:cNvPicPr/>
                  </pic:nvPicPr>
                  <pic:blipFill>
                    <a:blip r:embed="rId12"/>
                    <a:stretch>
                      <a:fillRect/>
                    </a:stretch>
                  </pic:blipFill>
                  <pic:spPr>
                    <a:xfrm>
                      <a:off x="0" y="0"/>
                      <a:ext cx="5303520" cy="2620563"/>
                    </a:xfrm>
                    <a:prstGeom prst="rect"/>
                  </pic:spPr>
                </pic:pic>
              </a:graphicData>
            </a:graphic>
          </wp:inline>
        </w:drawing>
      </w:r>
    </w:p>
    <w:p>
      <w:pPr>
        <w:jc w:val="center"/>
      </w:pPr>
      <w:r>
        <w:rPr>
          <w:rFonts w:ascii="Times New Roman" w:hAnsi="Times New Roman"/>
          <w:i/>
          <w:sz w:val="20"/>
        </w:rPr>
        <w:t>Figura 4. Distribución del riesgo residual por escenario (boxplot, n = 30).</w:t>
      </w:r>
    </w:p>
    <w:p>
      <w:pPr>
        <w:pStyle w:val="Heading2"/>
      </w:pPr>
      <w:r>
        <w:rPr>
          <w:rFonts w:ascii="Times New Roman" w:hAnsi="Times New Roman"/>
          <w:color w:val="1F3A5F"/>
        </w:rPr>
        <w:t>6.5. Indicadores operativos complementarios</w:t>
      </w:r>
    </w:p>
    <w:p>
      <w:pPr>
        <w:jc w:val="both"/>
      </w:pPr>
      <w:r>
        <w:rPr>
          <w:rFonts w:ascii="Times New Roman" w:hAnsi="Times New Roman"/>
          <w:b w:val="0"/>
          <w:i w:val="0"/>
          <w:sz w:val="22"/>
        </w:rPr>
        <w:t>Más allá del riesgo residual, la Tabla 5 consolida el comportamiento de los KPIs operativos definidos en la metodología. El modelo programa entre 1,8 y 5,2 puntos porcentuales más de WO críticas en todos los escenarios y reduce de forma consistente el lateness ponderado, indicador de la urgencia acumulada del trabajo no ejecutado.</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3A5F"/>
            <w:vAlign w:val="center"/>
          </w:tcPr>
          <w:p>
            <w:pPr>
              <w:jc w:val="center"/>
            </w:pPr>
            <w:r>
              <w:rPr>
                <w:rFonts w:ascii="Times New Roman" w:hAnsi="Times New Roman"/>
                <w:b/>
                <w:color w:val="FFFFFF"/>
                <w:sz w:val="20"/>
              </w:rPr>
              <w:t>Escenario</w:t>
            </w:r>
          </w:p>
        </w:tc>
        <w:tc>
          <w:tcPr>
            <w:tcW w:type="dxa" w:w="1728"/>
            <w:shd w:val="clear" w:color="auto" w:fill="1F3A5F"/>
            <w:vAlign w:val="center"/>
          </w:tcPr>
          <w:p>
            <w:pPr>
              <w:jc w:val="center"/>
            </w:pPr>
            <w:r>
              <w:rPr>
                <w:rFonts w:ascii="Times New Roman" w:hAnsi="Times New Roman"/>
                <w:b/>
                <w:color w:val="FFFFFF"/>
                <w:sz w:val="20"/>
              </w:rPr>
              <w:t>% WO críticas (B / M)</w:t>
            </w:r>
          </w:p>
        </w:tc>
        <w:tc>
          <w:tcPr>
            <w:tcW w:type="dxa" w:w="1728"/>
            <w:shd w:val="clear" w:color="auto" w:fill="1F3A5F"/>
            <w:vAlign w:val="center"/>
          </w:tcPr>
          <w:p>
            <w:pPr>
              <w:jc w:val="center"/>
            </w:pPr>
            <w:r>
              <w:rPr>
                <w:rFonts w:ascii="Times New Roman" w:hAnsi="Times New Roman"/>
                <w:b/>
                <w:color w:val="FFFFFF"/>
                <w:sz w:val="20"/>
              </w:rPr>
              <w:t>Utilización total (B / M)</w:t>
            </w:r>
          </w:p>
        </w:tc>
        <w:tc>
          <w:tcPr>
            <w:tcW w:type="dxa" w:w="1728"/>
            <w:shd w:val="clear" w:color="auto" w:fill="1F3A5F"/>
            <w:vAlign w:val="center"/>
          </w:tcPr>
          <w:p>
            <w:pPr>
              <w:jc w:val="center"/>
            </w:pPr>
            <w:r>
              <w:rPr>
                <w:rFonts w:ascii="Times New Roman" w:hAnsi="Times New Roman"/>
                <w:b/>
                <w:color w:val="FFFFFF"/>
                <w:sz w:val="20"/>
              </w:rPr>
              <w:t>Lateness ponderado (B / M)</w:t>
            </w:r>
          </w:p>
        </w:tc>
        <w:tc>
          <w:tcPr>
            <w:tcW w:type="dxa" w:w="1728"/>
            <w:shd w:val="clear" w:color="auto" w:fill="1F3A5F"/>
            <w:vAlign w:val="center"/>
          </w:tcPr>
          <w:p>
            <w:pPr>
              <w:jc w:val="center"/>
            </w:pPr>
            <w:r>
              <w:rPr>
                <w:rFonts w:ascii="Times New Roman" w:hAnsi="Times New Roman"/>
                <w:b/>
                <w:color w:val="FFFFFF"/>
                <w:sz w:val="20"/>
              </w:rPr>
              <w:t>Δ % críticas</w:t>
            </w:r>
          </w:p>
        </w:tc>
      </w:tr>
      <w:tr>
        <w:tc>
          <w:tcPr>
            <w:tcW w:type="dxa" w:w="1728"/>
          </w:tcPr>
          <w:p>
            <w:pPr>
              <w:jc w:val="left"/>
            </w:pPr>
            <w:r>
              <w:rPr>
                <w:rFonts w:ascii="Times New Roman" w:hAnsi="Times New Roman"/>
                <w:sz w:val="20"/>
              </w:rPr>
              <w:t>E1</w:t>
            </w:r>
          </w:p>
        </w:tc>
        <w:tc>
          <w:tcPr>
            <w:tcW w:type="dxa" w:w="1728"/>
          </w:tcPr>
          <w:p>
            <w:pPr>
              <w:jc w:val="center"/>
            </w:pPr>
            <w:r>
              <w:rPr>
                <w:rFonts w:ascii="Times New Roman" w:hAnsi="Times New Roman"/>
                <w:sz w:val="20"/>
              </w:rPr>
              <w:t>73,3 / 75,2</w:t>
            </w:r>
          </w:p>
        </w:tc>
        <w:tc>
          <w:tcPr>
            <w:tcW w:type="dxa" w:w="1728"/>
          </w:tcPr>
          <w:p>
            <w:pPr>
              <w:jc w:val="center"/>
            </w:pPr>
            <w:r>
              <w:rPr>
                <w:rFonts w:ascii="Times New Roman" w:hAnsi="Times New Roman"/>
                <w:sz w:val="20"/>
              </w:rPr>
              <w:t>76,6 / 77,1</w:t>
            </w:r>
          </w:p>
        </w:tc>
        <w:tc>
          <w:tcPr>
            <w:tcW w:type="dxa" w:w="1728"/>
          </w:tcPr>
          <w:p>
            <w:pPr>
              <w:jc w:val="center"/>
            </w:pPr>
            <w:r>
              <w:rPr>
                <w:rFonts w:ascii="Times New Roman" w:hAnsi="Times New Roman"/>
                <w:sz w:val="20"/>
              </w:rPr>
              <w:t>88,9 / 83,4</w:t>
            </w:r>
          </w:p>
        </w:tc>
        <w:tc>
          <w:tcPr>
            <w:tcW w:type="dxa" w:w="1728"/>
          </w:tcPr>
          <w:p>
            <w:pPr>
              <w:jc w:val="center"/>
            </w:pPr>
            <w:r>
              <w:rPr>
                <w:rFonts w:ascii="Times New Roman" w:hAnsi="Times New Roman"/>
                <w:sz w:val="20"/>
              </w:rPr>
              <w:t>+1,9</w:t>
            </w:r>
          </w:p>
        </w:tc>
      </w:tr>
      <w:tr>
        <w:tc>
          <w:tcPr>
            <w:tcW w:type="dxa" w:w="1728"/>
          </w:tcPr>
          <w:p>
            <w:pPr>
              <w:jc w:val="left"/>
            </w:pPr>
            <w:r>
              <w:rPr>
                <w:rFonts w:ascii="Times New Roman" w:hAnsi="Times New Roman"/>
                <w:sz w:val="20"/>
              </w:rPr>
              <w:t>E2</w:t>
            </w:r>
          </w:p>
        </w:tc>
        <w:tc>
          <w:tcPr>
            <w:tcW w:type="dxa" w:w="1728"/>
          </w:tcPr>
          <w:p>
            <w:pPr>
              <w:jc w:val="center"/>
            </w:pPr>
            <w:r>
              <w:rPr>
                <w:rFonts w:ascii="Times New Roman" w:hAnsi="Times New Roman"/>
                <w:sz w:val="20"/>
              </w:rPr>
              <w:t>71,0 / 76,3</w:t>
            </w:r>
          </w:p>
        </w:tc>
        <w:tc>
          <w:tcPr>
            <w:tcW w:type="dxa" w:w="1728"/>
          </w:tcPr>
          <w:p>
            <w:pPr>
              <w:jc w:val="center"/>
            </w:pPr>
            <w:r>
              <w:rPr>
                <w:rFonts w:ascii="Times New Roman" w:hAnsi="Times New Roman"/>
                <w:sz w:val="20"/>
              </w:rPr>
              <w:t>84,5 / 84,7</w:t>
            </w:r>
          </w:p>
        </w:tc>
        <w:tc>
          <w:tcPr>
            <w:tcW w:type="dxa" w:w="1728"/>
          </w:tcPr>
          <w:p>
            <w:pPr>
              <w:jc w:val="center"/>
            </w:pPr>
            <w:r>
              <w:rPr>
                <w:rFonts w:ascii="Times New Roman" w:hAnsi="Times New Roman"/>
                <w:sz w:val="20"/>
              </w:rPr>
              <w:t>98,9 / 88,1</w:t>
            </w:r>
          </w:p>
        </w:tc>
        <w:tc>
          <w:tcPr>
            <w:tcW w:type="dxa" w:w="1728"/>
          </w:tcPr>
          <w:p>
            <w:pPr>
              <w:jc w:val="center"/>
            </w:pPr>
            <w:r>
              <w:rPr>
                <w:rFonts w:ascii="Times New Roman" w:hAnsi="Times New Roman"/>
                <w:sz w:val="20"/>
              </w:rPr>
              <w:t>+5,3</w:t>
            </w:r>
          </w:p>
        </w:tc>
      </w:tr>
      <w:tr>
        <w:tc>
          <w:tcPr>
            <w:tcW w:type="dxa" w:w="1728"/>
          </w:tcPr>
          <w:p>
            <w:pPr>
              <w:jc w:val="left"/>
            </w:pPr>
            <w:r>
              <w:rPr>
                <w:rFonts w:ascii="Times New Roman" w:hAnsi="Times New Roman"/>
                <w:sz w:val="20"/>
              </w:rPr>
              <w:t>E3</w:t>
            </w:r>
          </w:p>
        </w:tc>
        <w:tc>
          <w:tcPr>
            <w:tcW w:type="dxa" w:w="1728"/>
          </w:tcPr>
          <w:p>
            <w:pPr>
              <w:jc w:val="center"/>
            </w:pPr>
            <w:r>
              <w:rPr>
                <w:rFonts w:ascii="Times New Roman" w:hAnsi="Times New Roman"/>
                <w:sz w:val="20"/>
              </w:rPr>
              <w:t>68,4 / 73,6</w:t>
            </w:r>
          </w:p>
        </w:tc>
        <w:tc>
          <w:tcPr>
            <w:tcW w:type="dxa" w:w="1728"/>
          </w:tcPr>
          <w:p>
            <w:pPr>
              <w:jc w:val="center"/>
            </w:pPr>
            <w:r>
              <w:rPr>
                <w:rFonts w:ascii="Times New Roman" w:hAnsi="Times New Roman"/>
                <w:sz w:val="20"/>
              </w:rPr>
              <w:t>80,2 / 80,4</w:t>
            </w:r>
          </w:p>
        </w:tc>
        <w:tc>
          <w:tcPr>
            <w:tcW w:type="dxa" w:w="1728"/>
          </w:tcPr>
          <w:p>
            <w:pPr>
              <w:jc w:val="center"/>
            </w:pPr>
            <w:r>
              <w:rPr>
                <w:rFonts w:ascii="Times New Roman" w:hAnsi="Times New Roman"/>
                <w:sz w:val="20"/>
              </w:rPr>
              <w:t>114,2 / 102,6</w:t>
            </w:r>
          </w:p>
        </w:tc>
        <w:tc>
          <w:tcPr>
            <w:tcW w:type="dxa" w:w="1728"/>
          </w:tcPr>
          <w:p>
            <w:pPr>
              <w:jc w:val="center"/>
            </w:pPr>
            <w:r>
              <w:rPr>
                <w:rFonts w:ascii="Times New Roman" w:hAnsi="Times New Roman"/>
                <w:sz w:val="20"/>
              </w:rPr>
              <w:t>+5,2</w:t>
            </w:r>
          </w:p>
        </w:tc>
      </w:tr>
      <w:tr>
        <w:tc>
          <w:tcPr>
            <w:tcW w:type="dxa" w:w="1728"/>
          </w:tcPr>
          <w:p>
            <w:pPr>
              <w:jc w:val="left"/>
            </w:pPr>
            <w:r>
              <w:rPr>
                <w:rFonts w:ascii="Times New Roman" w:hAnsi="Times New Roman"/>
                <w:sz w:val="20"/>
              </w:rPr>
              <w:t>E4</w:t>
            </w:r>
          </w:p>
        </w:tc>
        <w:tc>
          <w:tcPr>
            <w:tcW w:type="dxa" w:w="1728"/>
          </w:tcPr>
          <w:p>
            <w:pPr>
              <w:jc w:val="center"/>
            </w:pPr>
            <w:r>
              <w:rPr>
                <w:rFonts w:ascii="Times New Roman" w:hAnsi="Times New Roman"/>
                <w:sz w:val="20"/>
              </w:rPr>
              <w:t>73,9 / 78,2</w:t>
            </w:r>
          </w:p>
        </w:tc>
        <w:tc>
          <w:tcPr>
            <w:tcW w:type="dxa" w:w="1728"/>
          </w:tcPr>
          <w:p>
            <w:pPr>
              <w:jc w:val="center"/>
            </w:pPr>
            <w:r>
              <w:rPr>
                <w:rFonts w:ascii="Times New Roman" w:hAnsi="Times New Roman"/>
                <w:sz w:val="20"/>
              </w:rPr>
              <w:t>72,5 / 73,4</w:t>
            </w:r>
          </w:p>
        </w:tc>
        <w:tc>
          <w:tcPr>
            <w:tcW w:type="dxa" w:w="1728"/>
          </w:tcPr>
          <w:p>
            <w:pPr>
              <w:jc w:val="center"/>
            </w:pPr>
            <w:r>
              <w:rPr>
                <w:rFonts w:ascii="Times New Roman" w:hAnsi="Times New Roman"/>
                <w:sz w:val="20"/>
              </w:rPr>
              <w:t>76,4 / 69,2</w:t>
            </w:r>
          </w:p>
        </w:tc>
        <w:tc>
          <w:tcPr>
            <w:tcW w:type="dxa" w:w="1728"/>
          </w:tcPr>
          <w:p>
            <w:pPr>
              <w:jc w:val="center"/>
            </w:pPr>
            <w:r>
              <w:rPr>
                <w:rFonts w:ascii="Times New Roman" w:hAnsi="Times New Roman"/>
                <w:sz w:val="20"/>
              </w:rPr>
              <w:t>+4,3</w:t>
            </w:r>
          </w:p>
        </w:tc>
      </w:tr>
      <w:tr>
        <w:tc>
          <w:tcPr>
            <w:tcW w:type="dxa" w:w="1728"/>
          </w:tcPr>
          <w:p>
            <w:pPr>
              <w:jc w:val="left"/>
            </w:pPr>
            <w:r>
              <w:rPr>
                <w:rFonts w:ascii="Times New Roman" w:hAnsi="Times New Roman"/>
                <w:sz w:val="20"/>
              </w:rPr>
              <w:t>E5</w:t>
            </w:r>
          </w:p>
        </w:tc>
        <w:tc>
          <w:tcPr>
            <w:tcW w:type="dxa" w:w="1728"/>
          </w:tcPr>
          <w:p>
            <w:pPr>
              <w:jc w:val="center"/>
            </w:pPr>
            <w:r>
              <w:rPr>
                <w:rFonts w:ascii="Times New Roman" w:hAnsi="Times New Roman"/>
                <w:sz w:val="20"/>
              </w:rPr>
              <w:t>72,0 / 76,9</w:t>
            </w:r>
          </w:p>
        </w:tc>
        <w:tc>
          <w:tcPr>
            <w:tcW w:type="dxa" w:w="1728"/>
          </w:tcPr>
          <w:p>
            <w:pPr>
              <w:jc w:val="center"/>
            </w:pPr>
            <w:r>
              <w:rPr>
                <w:rFonts w:ascii="Times New Roman" w:hAnsi="Times New Roman"/>
                <w:sz w:val="20"/>
              </w:rPr>
              <w:t>78,1 / 78,3</w:t>
            </w:r>
          </w:p>
        </w:tc>
        <w:tc>
          <w:tcPr>
            <w:tcW w:type="dxa" w:w="1728"/>
          </w:tcPr>
          <w:p>
            <w:pPr>
              <w:jc w:val="center"/>
            </w:pPr>
            <w:r>
              <w:rPr>
                <w:rFonts w:ascii="Times New Roman" w:hAnsi="Times New Roman"/>
                <w:sz w:val="20"/>
              </w:rPr>
              <w:t>87,7 / 80,8</w:t>
            </w:r>
          </w:p>
        </w:tc>
        <w:tc>
          <w:tcPr>
            <w:tcW w:type="dxa" w:w="1728"/>
          </w:tcPr>
          <w:p>
            <w:pPr>
              <w:jc w:val="center"/>
            </w:pPr>
            <w:r>
              <w:rPr>
                <w:rFonts w:ascii="Times New Roman" w:hAnsi="Times New Roman"/>
                <w:sz w:val="20"/>
              </w:rPr>
              <w:t>+4,9</w:t>
            </w:r>
          </w:p>
        </w:tc>
      </w:tr>
    </w:tbl>
    <w:p>
      <w:pPr>
        <w:jc w:val="center"/>
      </w:pPr>
      <w:r>
        <w:rPr>
          <w:rFonts w:ascii="Times New Roman" w:hAnsi="Times New Roman"/>
          <w:i/>
          <w:sz w:val="20"/>
        </w:rPr>
        <w:t>Tabla 5. KPIs operativos comparativos: Baseline (B) vs. Modelo (M).</w:t>
      </w:r>
    </w:p>
    <w:p>
      <w:pPr>
        <w:jc w:val="center"/>
      </w:pPr>
      <w:r>
        <w:drawing>
          <wp:inline xmlns:a="http://schemas.openxmlformats.org/drawingml/2006/main" xmlns:pic="http://schemas.openxmlformats.org/drawingml/2006/picture">
            <wp:extent cx="5303520" cy="2620563"/>
            <wp:docPr id="5" name="Picture 5"/>
            <wp:cNvGraphicFramePr>
              <a:graphicFrameLocks noChangeAspect="1"/>
            </wp:cNvGraphicFramePr>
            <a:graphic>
              <a:graphicData uri="http://schemas.openxmlformats.org/drawingml/2006/picture">
                <pic:pic>
                  <pic:nvPicPr>
                    <pic:cNvPr id="0" name="boxplot_pct_criticas.png"/>
                    <pic:cNvPicPr/>
                  </pic:nvPicPr>
                  <pic:blipFill>
                    <a:blip r:embed="rId13"/>
                    <a:stretch>
                      <a:fillRect/>
                    </a:stretch>
                  </pic:blipFill>
                  <pic:spPr>
                    <a:xfrm>
                      <a:off x="0" y="0"/>
                      <a:ext cx="5303520" cy="2620563"/>
                    </a:xfrm>
                    <a:prstGeom prst="rect"/>
                  </pic:spPr>
                </pic:pic>
              </a:graphicData>
            </a:graphic>
          </wp:inline>
        </w:drawing>
      </w:r>
    </w:p>
    <w:p>
      <w:pPr>
        <w:jc w:val="center"/>
      </w:pPr>
      <w:r>
        <w:rPr>
          <w:rFonts w:ascii="Times New Roman" w:hAnsi="Times New Roman"/>
          <w:i/>
          <w:sz w:val="20"/>
        </w:rPr>
        <w:t>Figura 5. Porcentaje de WO críticas programadas por escenario.</w:t>
      </w:r>
    </w:p>
    <w:p>
      <w:pPr>
        <w:jc w:val="center"/>
      </w:pPr>
      <w:r>
        <w:drawing>
          <wp:inline xmlns:a="http://schemas.openxmlformats.org/drawingml/2006/main" xmlns:pic="http://schemas.openxmlformats.org/drawingml/2006/picture">
            <wp:extent cx="5303520" cy="2620563"/>
            <wp:docPr id="6" name="Picture 6"/>
            <wp:cNvGraphicFramePr>
              <a:graphicFrameLocks noChangeAspect="1"/>
            </wp:cNvGraphicFramePr>
            <a:graphic>
              <a:graphicData uri="http://schemas.openxmlformats.org/drawingml/2006/picture">
                <pic:pic>
                  <pic:nvPicPr>
                    <pic:cNvPr id="0" name="boxplot_utilizacion.png"/>
                    <pic:cNvPicPr/>
                  </pic:nvPicPr>
                  <pic:blipFill>
                    <a:blip r:embed="rId14"/>
                    <a:stretch>
                      <a:fillRect/>
                    </a:stretch>
                  </pic:blipFill>
                  <pic:spPr>
                    <a:xfrm>
                      <a:off x="0" y="0"/>
                      <a:ext cx="5303520" cy="2620563"/>
                    </a:xfrm>
                    <a:prstGeom prst="rect"/>
                  </pic:spPr>
                </pic:pic>
              </a:graphicData>
            </a:graphic>
          </wp:inline>
        </w:drawing>
      </w:r>
    </w:p>
    <w:p>
      <w:pPr>
        <w:jc w:val="center"/>
      </w:pPr>
      <w:r>
        <w:rPr>
          <w:rFonts w:ascii="Times New Roman" w:hAnsi="Times New Roman"/>
          <w:i/>
          <w:sz w:val="20"/>
        </w:rPr>
        <w:t>Figura 6. Utilización total de horas-hombre por escenario.</w:t>
      </w:r>
    </w:p>
    <w:p>
      <w:pPr>
        <w:jc w:val="both"/>
      </w:pPr>
      <w:r>
        <w:rPr>
          <w:rFonts w:ascii="Times New Roman" w:hAnsi="Times New Roman"/>
          <w:b w:val="0"/>
          <w:i w:val="0"/>
          <w:sz w:val="22"/>
        </w:rPr>
        <w:t>El cumplimiento de ventanas de ejecución se mantuvo en 100 % para ambos métodos y la utilización total muestra diferencias mínimas (&lt; 1 punto porcentual), lo que confirma que la ganancia del modelo no se obtiene a costa de subutilizar la capacidad sino mediante un ordenamiento más eficiente de las órdenes priorizadas.</w:t>
      </w:r>
    </w:p>
    <w:p>
      <w:pPr>
        <w:pStyle w:val="Heading2"/>
      </w:pPr>
      <w:r>
        <w:rPr>
          <w:rFonts w:ascii="Times New Roman" w:hAnsi="Times New Roman"/>
          <w:color w:val="1F3A5F"/>
        </w:rPr>
        <w:t>6.6. Sensibilidad a los pesos del MCDA</w:t>
      </w:r>
    </w:p>
    <w:p>
      <w:pPr>
        <w:jc w:val="both"/>
      </w:pPr>
      <w:r>
        <w:rPr>
          <w:rFonts w:ascii="Times New Roman" w:hAnsi="Times New Roman"/>
          <w:b w:val="0"/>
          <w:i w:val="0"/>
          <w:sz w:val="22"/>
        </w:rPr>
        <w:t>El escenario E4 evaluó la robustez del modelo ante un cambio de política corporativa consistente en elevar el peso de severidad en el puntaje agregado (w_severidad de 0,30 a 0,50, y dentro de ésta, sub-peso de seguridad de 0,50 a 0,70). El modelo recompuso el plan incrementando la cobertura de WO críticas en 4,3 puntos porcentuales y reduciendo el lateness ponderado en 9,4 % frente al baseline, sin generar violaciones de capacidad ni de repuestos. Este resultado coincide con la recomendación de Greco, Ehrgott y Figueira (2016) de someter los esquemas multicriterio a análisis de sensibilidad para garantizar trazabilidad y auditabilidad de la decisión.</w:t>
      </w:r>
    </w:p>
    <w:p>
      <w:pPr>
        <w:pStyle w:val="Heading2"/>
      </w:pPr>
      <w:r>
        <w:rPr>
          <w:rFonts w:ascii="Times New Roman" w:hAnsi="Times New Roman"/>
          <w:color w:val="1F3A5F"/>
        </w:rPr>
        <w:t>6.7. Trazabilidad y reproducibilidad</w:t>
      </w:r>
    </w:p>
    <w:p>
      <w:pPr>
        <w:jc w:val="both"/>
      </w:pPr>
      <w:r>
        <w:rPr>
          <w:rFonts w:ascii="Times New Roman" w:hAnsi="Times New Roman"/>
          <w:b w:val="0"/>
          <w:i w:val="0"/>
          <w:sz w:val="22"/>
        </w:rPr>
        <w:t>Cada plan semanal generado quedó respaldado por los componentes individuales del puntaje (probabilidad calibrada, severidad agregada y costo) y por el indicador binario de inclusión, lo que permite reconstruir la justificación de programación o exclusión de cada WO. El uso de semillas fijas garantizó la reproducibilidad bit a bit de las 150 corridas y de los estadísticos derivados, condición exigida por las buenas prácticas de investigación reproducible en mantenimiento predictivo (Lei et al., 2020; Wahab, Alshurideh y Matar, 2024).</w:t>
      </w:r>
    </w:p>
    <w:p>
      <w:pPr>
        <w:jc w:val="both"/>
      </w:pPr>
      <w:r>
        <w:rPr>
          <w:rFonts w:ascii="Times New Roman" w:hAnsi="Times New Roman"/>
          <w:b w:val="0"/>
          <w:i w:val="0"/>
          <w:sz w:val="22"/>
        </w:rPr>
        <w:t>En síntesis, los hallazgos descritos serán interpretados y articulados con los objetivos del trabajo en el siguiente apartado de conclusiones.</w:t>
      </w:r>
    </w:p>
    <w:p>
      <w:r>
        <w:br w:type="page"/>
      </w:r>
    </w:p>
    <w:p>
      <w:pPr>
        <w:pStyle w:val="Heading1"/>
      </w:pPr>
      <w:r>
        <w:rPr>
          <w:rFonts w:ascii="Times New Roman" w:hAnsi="Times New Roman"/>
          <w:color w:val="1F3A5F"/>
        </w:rPr>
        <w:t>7. CONCLUSIONES Y RECOMENDACIONES</w:t>
      </w:r>
    </w:p>
    <w:p>
      <w:pPr>
        <w:jc w:val="both"/>
      </w:pPr>
      <w:r>
        <w:rPr>
          <w:rFonts w:ascii="Times New Roman" w:hAnsi="Times New Roman"/>
          <w:b w:val="0"/>
          <w:i w:val="0"/>
          <w:sz w:val="22"/>
        </w:rPr>
        <w:t>El presente apartado sintetiza los principales hallazgos de la investigación, los articula con el objetivo general del trabajo, identifica las limitaciones que afectaron el alcance del estudio y formula recomendaciones para su continuidad. La estructura sigue lo orientado por la guía metodológica institucional y por Hernández Sampieri, Fernández Collado y Baptista Lucio (2010), quienes recomiendan separar las conclusiones derivadas del problema y de los objetivos, las conclusiones sobre el proceso de investigación y las recomendaciones para trabajos futuros.</w:t>
      </w:r>
    </w:p>
    <w:p>
      <w:pPr>
        <w:pStyle w:val="Heading2"/>
      </w:pPr>
      <w:r>
        <w:rPr>
          <w:rFonts w:ascii="Times New Roman" w:hAnsi="Times New Roman"/>
          <w:color w:val="1F3A5F"/>
        </w:rPr>
        <w:t>7.1. Conclusiones respecto al objetivo general y al problema planteado</w:t>
      </w:r>
    </w:p>
    <w:p>
      <w:pPr>
        <w:jc w:val="both"/>
      </w:pPr>
      <w:r>
        <w:rPr>
          <w:rFonts w:ascii="Times New Roman" w:hAnsi="Times New Roman"/>
          <w:b w:val="0"/>
          <w:i w:val="0"/>
          <w:sz w:val="22"/>
        </w:rPr>
        <w:t>El objetivo general del trabajo —diseñar y evaluar un modelo predictivo–prescriptivo para la priorización de órdenes de trabajo de mantenimiento, que maximizara la reducción del riesgo operativo bajo restricciones de capacidad, habilidades y disponibilidad de repuestos, validando su desempeño frente a reglas tradicionales— se cumple a partir de la evidencia obtenida en los experimentos. Las pruebas estadísticas pareadas confirmaron, con p &lt; 0,001, que el modelo propuesto reduce significativamente el riesgo residual del backlog en los cinco escenarios evaluados, con reducciones medias entre 9 % y 13 % y picos individuales superiores al 38 %. La brecha identificada en el problema —ausencia de un mecanismo trazable y auditable que conecte predicción, valoración multicriterio y decisión bajo restricciones— se cierra mediante la implementación de un pipeline de tres etapas reproducible y abierto.</w:t>
      </w:r>
    </w:p>
    <w:p>
      <w:pPr>
        <w:jc w:val="both"/>
      </w:pPr>
      <w:r>
        <w:rPr>
          <w:rFonts w:ascii="Times New Roman" w:hAnsi="Times New Roman"/>
          <w:b w:val="0"/>
          <w:i w:val="0"/>
          <w:sz w:val="22"/>
        </w:rPr>
        <w:t>Adicionalmente, se concluye que el componente predictivo, basado en regresión logística calibrada isotónicamente, alcanza un nivel de discriminación adecuado (AUC = 0,76) y probabilidades estadísticamente confiables, lo que permite alimentar el puntaje multicriterio sin sesgos de sobre o subestimación. La calibración resultó un componente crítico para la consistencia operativa del plan.</w:t>
      </w:r>
    </w:p>
    <w:p>
      <w:pPr>
        <w:pStyle w:val="Heading2"/>
      </w:pPr>
      <w:r>
        <w:rPr>
          <w:rFonts w:ascii="Times New Roman" w:hAnsi="Times New Roman"/>
          <w:color w:val="1F3A5F"/>
        </w:rPr>
        <w:t>7.2. Conclusiones sobre cada objetivo específico</w:t>
      </w:r>
    </w:p>
    <w:p>
      <w:pPr>
        <w:jc w:val="both"/>
      </w:pPr>
      <w:r>
        <w:rPr>
          <w:rFonts w:ascii="Times New Roman" w:hAnsi="Times New Roman"/>
          <w:b w:val="0"/>
          <w:i w:val="0"/>
          <w:sz w:val="22"/>
        </w:rPr>
        <w:t>En relación con los cuatro objetivos específicos planteados, los resultados experimentales permiten concluir lo siguiente:</w:t>
      </w:r>
    </w:p>
    <w:p>
      <w:pPr>
        <w:pStyle w:val="ListBullet"/>
        <w:jc w:val="both"/>
      </w:pPr>
      <w:r>
        <w:rPr>
          <w:rFonts w:ascii="Times New Roman" w:hAnsi="Times New Roman"/>
          <w:sz w:val="22"/>
        </w:rPr>
        <w:t>Se construyó un dataset sintético reproducible, con veintiún (21) variables documentadas en un diccionario de datos, capaz de generar backlogs semanales realistas entre 20 y 100 WO, lo que satisface plenamente el OE1 y proporciona la base para los experimentos posteriores.</w:t>
      </w:r>
    </w:p>
    <w:p>
      <w:pPr>
        <w:pStyle w:val="ListBullet"/>
        <w:jc w:val="both"/>
      </w:pPr>
      <w:r>
        <w:rPr>
          <w:rFonts w:ascii="Times New Roman" w:hAnsi="Times New Roman"/>
          <w:sz w:val="22"/>
        </w:rPr>
        <w:t>Se entrenó y calibró un modelo de clasificación cuyas métricas globales (AUC = 0,762; PR-AUC = 0,785; Brier = 0,201) cumplen el criterio de desempeño del OE2 y se mantienen estables a través de los cinco escenarios, confirmando la robustez del componente predictivo.</w:t>
      </w:r>
    </w:p>
    <w:p>
      <w:pPr>
        <w:pStyle w:val="ListBullet"/>
        <w:jc w:val="both"/>
      </w:pPr>
      <w:r>
        <w:rPr>
          <w:rFonts w:ascii="Times New Roman" w:hAnsi="Times New Roman"/>
          <w:sz w:val="22"/>
        </w:rPr>
        <w:t>Se formuló y resolvió un modelo de optimización tipo knapsack multi-restricción, cuya ejecución mantuvo el cumplimiento del 100 % en ventanas de ejecución y cero violaciones por repuestos en las 150 corridas analizadas, evidencia suficiente para considerar cumplido el OE3.</w:t>
      </w:r>
    </w:p>
    <w:p>
      <w:pPr>
        <w:pStyle w:val="ListBullet"/>
        <w:jc w:val="both"/>
      </w:pPr>
      <w:r>
        <w:rPr>
          <w:rFonts w:ascii="Times New Roman" w:hAnsi="Times New Roman"/>
          <w:sz w:val="22"/>
        </w:rPr>
        <w:t>Se comparó el desempeño del modelo frente a la política tradicional, demostrando con prueba t pareada (p &lt; 0,001) reducciones significativas del riesgo residual y una mayor cobertura de WO críticas (entre +1,9 y +5,3 puntos porcentuales), lo que satisface el OE4 y respalda el valor agregado del enfoque propuesto.</w:t>
      </w:r>
    </w:p>
    <w:p>
      <w:pPr>
        <w:pStyle w:val="Heading2"/>
      </w:pPr>
      <w:r>
        <w:rPr>
          <w:rFonts w:ascii="Times New Roman" w:hAnsi="Times New Roman"/>
          <w:color w:val="1F3A5F"/>
        </w:rPr>
        <w:t>7.3. Conclusiones sobre el proceso de investigación</w:t>
      </w:r>
    </w:p>
    <w:p>
      <w:pPr>
        <w:jc w:val="both"/>
      </w:pPr>
      <w:r>
        <w:rPr>
          <w:rFonts w:ascii="Times New Roman" w:hAnsi="Times New Roman"/>
          <w:b w:val="0"/>
          <w:i w:val="0"/>
          <w:sz w:val="22"/>
        </w:rPr>
        <w:t>El proceso de investigación, organizado en seis fases (diseño experimental, modelado predictivo, modelado multicriterio, optimización, evaluación y análisis de resultados), demostró que la combinación entre simulación reproducible y comparación pareada con un baseline operativo es una estrategia eficiente para validar arquitecturas de decisión en mantenimiento industrial sin requerir acceso a datos propietarios. La trazabilidad de cada decisión, respaldada por los componentes individuales del puntaje y por las semillas controladas, constituye una contribución metodológica relevante en línea con la tendencia observada en la literatura reciente (Wahab, Alshurideh y Matar, 2024; Maataoui, Ait-Si-Selmi y Tkiouat, 2024).</w:t>
      </w:r>
    </w:p>
    <w:p>
      <w:pPr>
        <w:pStyle w:val="Heading2"/>
      </w:pPr>
      <w:r>
        <w:rPr>
          <w:rFonts w:ascii="Times New Roman" w:hAnsi="Times New Roman"/>
          <w:color w:val="1F3A5F"/>
        </w:rPr>
        <w:t>7.4. Limitaciones del estudio</w:t>
      </w:r>
    </w:p>
    <w:p>
      <w:pPr>
        <w:jc w:val="both"/>
      </w:pPr>
      <w:r>
        <w:rPr>
          <w:rFonts w:ascii="Times New Roman" w:hAnsi="Times New Roman"/>
          <w:b w:val="0"/>
          <w:i w:val="0"/>
          <w:sz w:val="22"/>
        </w:rPr>
        <w:t>Se reconocen las siguientes limitaciones que acotaron el alcance del trabajo y que deben ser consideradas en la lectura de los resultados:</w:t>
      </w:r>
    </w:p>
    <w:p>
      <w:pPr>
        <w:pStyle w:val="ListBullet"/>
        <w:jc w:val="both"/>
      </w:pPr>
      <w:r>
        <w:rPr>
          <w:rFonts w:ascii="Times New Roman" w:hAnsi="Times New Roman"/>
          <w:sz w:val="22"/>
        </w:rPr>
        <w:t>El estudio se basa exclusivamente en datos sintéticos: aunque los parámetros se diseñaron con criterios industriales realistas, no se contrastó con históricos de un CMMS corporativo, lo que limita la validez externa.</w:t>
      </w:r>
    </w:p>
    <w:p>
      <w:pPr>
        <w:pStyle w:val="ListBullet"/>
        <w:jc w:val="both"/>
      </w:pPr>
      <w:r>
        <w:rPr>
          <w:rFonts w:ascii="Times New Roman" w:hAnsi="Times New Roman"/>
          <w:sz w:val="22"/>
        </w:rPr>
        <w:t>Las duraciones de las WO se trataron como determinísticas; no se modeló variabilidad estocástica de tiempos de ejecución ni paradas no previstas durante la semana.</w:t>
      </w:r>
    </w:p>
    <w:p>
      <w:pPr>
        <w:pStyle w:val="ListBullet"/>
        <w:jc w:val="both"/>
      </w:pPr>
      <w:r>
        <w:rPr>
          <w:rFonts w:ascii="Times New Roman" w:hAnsi="Times New Roman"/>
          <w:sz w:val="22"/>
        </w:rPr>
        <w:t>El horizonte de decisión fue semanal e independiente entre semanas; no se evaluó el efecto de una planificación rolante multi-semana ni la dinámica de actualización del backlog.</w:t>
      </w:r>
    </w:p>
    <w:p>
      <w:pPr>
        <w:pStyle w:val="ListBullet"/>
        <w:jc w:val="both"/>
      </w:pPr>
      <w:r>
        <w:rPr>
          <w:rFonts w:ascii="Times New Roman" w:hAnsi="Times New Roman"/>
          <w:sz w:val="22"/>
        </w:rPr>
        <w:t>La política de inventarios se asumió fija; no se incluyó la decisión de reaprovisionamiento ni la negociación con compras frente a faltantes recurrentes.</w:t>
      </w:r>
    </w:p>
    <w:p>
      <w:pPr>
        <w:pStyle w:val="ListBullet"/>
        <w:jc w:val="both"/>
      </w:pPr>
      <w:r>
        <w:rPr>
          <w:rFonts w:ascii="Times New Roman" w:hAnsi="Times New Roman"/>
          <w:sz w:val="22"/>
        </w:rPr>
        <w:t>El componente predictivo se restringió a una regresión logística; modelos no lineales (gradient boosting, redes neuronales tabulares) podrían modificar el desempeño en condiciones más complejas.</w:t>
      </w:r>
    </w:p>
    <w:p>
      <w:pPr>
        <w:pStyle w:val="Heading2"/>
      </w:pPr>
      <w:r>
        <w:rPr>
          <w:rFonts w:ascii="Times New Roman" w:hAnsi="Times New Roman"/>
          <w:color w:val="1F3A5F"/>
        </w:rPr>
        <w:t>7.5. Recomendaciones para trabajos futuros</w:t>
      </w:r>
    </w:p>
    <w:p>
      <w:pPr>
        <w:jc w:val="both"/>
      </w:pPr>
      <w:r>
        <w:rPr>
          <w:rFonts w:ascii="Times New Roman" w:hAnsi="Times New Roman"/>
          <w:b w:val="0"/>
          <w:i w:val="0"/>
          <w:sz w:val="22"/>
        </w:rPr>
        <w:t>A partir de los hallazgos y limitaciones identificadas, se proponen las siguientes líneas de continuidad:</w:t>
      </w:r>
    </w:p>
    <w:p>
      <w:pPr>
        <w:pStyle w:val="ListBullet"/>
        <w:jc w:val="both"/>
      </w:pPr>
      <w:r>
        <w:rPr>
          <w:rFonts w:ascii="Times New Roman" w:hAnsi="Times New Roman"/>
          <w:sz w:val="22"/>
        </w:rPr>
        <w:t>Validación con datos reales: aplicar el pipeline a un histórico anonimizado de un CMMS industrial para contrastar la transferibilidad de los resultados a un entorno productivo.</w:t>
      </w:r>
    </w:p>
    <w:p>
      <w:pPr>
        <w:pStyle w:val="ListBullet"/>
        <w:jc w:val="both"/>
      </w:pPr>
      <w:r>
        <w:rPr>
          <w:rFonts w:ascii="Times New Roman" w:hAnsi="Times New Roman"/>
          <w:sz w:val="22"/>
        </w:rPr>
        <w:t>Extensión a horizontes multi-semana: incorporar planificación rolante de 4 a 8 semanas con actualización dinámica del backlog y de las probabilidades calibradas.</w:t>
      </w:r>
    </w:p>
    <w:p>
      <w:pPr>
        <w:pStyle w:val="ListBullet"/>
        <w:jc w:val="both"/>
      </w:pPr>
      <w:r>
        <w:rPr>
          <w:rFonts w:ascii="Times New Roman" w:hAnsi="Times New Roman"/>
          <w:sz w:val="22"/>
        </w:rPr>
        <w:t>Integración de costo económico explícito: complementar el puntaje MCDA con una dimensión monetaria (costo de indisponibilidad, costo de oportunidad) y reportar retorno sobre la inversión del plan.</w:t>
      </w:r>
    </w:p>
    <w:p>
      <w:pPr>
        <w:pStyle w:val="ListBullet"/>
        <w:jc w:val="both"/>
      </w:pPr>
      <w:r>
        <w:rPr>
          <w:rFonts w:ascii="Times New Roman" w:hAnsi="Times New Roman"/>
          <w:sz w:val="22"/>
        </w:rPr>
        <w:t>Comparación con modelos no lineales: contrastar la regresión logística calibrada frente a XGBoost o LightGBM (Chen y Guestrin, 2016; Ke et al., 2017) optimizados con Optuna (Akiba et al., 2019), evaluando si el incremento en discriminación se traduce en mejor decisión operativa.</w:t>
      </w:r>
    </w:p>
    <w:p>
      <w:pPr>
        <w:pStyle w:val="ListBullet"/>
        <w:jc w:val="both"/>
      </w:pPr>
      <w:r>
        <w:rPr>
          <w:rFonts w:ascii="Times New Roman" w:hAnsi="Times New Roman"/>
          <w:sz w:val="22"/>
        </w:rPr>
        <w:t>Restricciones blandas y penalidades: incluir incumplimiento parcial de ventanas y reprogramaciones automáticas como variables del problema, acercando el modelo a un esquema robusto frente a perturbaciones.</w:t>
      </w:r>
    </w:p>
    <w:p>
      <w:pPr>
        <w:pStyle w:val="ListBullet"/>
        <w:jc w:val="both"/>
      </w:pPr>
      <w:r>
        <w:rPr>
          <w:rFonts w:ascii="Times New Roman" w:hAnsi="Times New Roman"/>
          <w:sz w:val="22"/>
        </w:rPr>
        <w:t>Despliegue piloto en planta: integrar el modelo a un CMMS corporativo en modo asistido (no reemplazo) para evaluar adopción, percepción de los planificadores y alineación con prácticas HSE durante un periodo de tres a seis meses.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