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e7b8c36a07794d25"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c50a9e9c80bb4fd9"/>
                    <a:stretch>
                      <a:fillRect/>
                    </a:stretch>
                  </pic:blipFill>
                  <pic:spPr>
                    <a:xfrm>
                      <a:off x="0" y="0"/>
                      <a:ext cx="7560000" cy="10692000"/>
                    </a:xfrm>
                    <a:prstGeom prst="rect"/>
                  </pic:spPr>
                </pic:pic>
              </a:graphicData>
            </a:graphic>
          </wp:anchor>
        </w:drawing>
      </w:r>
    </w:p>
    <w:p>
      <w:pPr>
        <w:spacing w:before="4400"/>
      </w:pPr>
      <w:r/>
    </w:p>
    <w:p>
      <w:pPr>
        <w:spacing w:after="300"/>
        <w:ind w:left="1000" w:right="1000"/>
      </w:pPr>
      <w:r>
        <w:rPr>
          <w:b/>
          <w:color w:val="263238"/>
          <w:spacing w:val="20"/>
          <w:sz w:val="72"/>
        </w:rPr>
        <w:t>Discovery &amp; Requirements Capture</w:t>
      </w:r>
    </w:p>
    <w:p>
      <w:pPr>
        <w:spacing w:after="2400"/>
        <w:ind w:left="1000" w:right="1000"/>
      </w:pPr>
      <w:r>
        <w:rPr>
          <w:color w:val="37474F"/>
          <w:spacing w:val="20"/>
          <w:sz w:val="40"/>
        </w:rPr>
        <w:t>User Guide</w:t>
      </w:r>
    </w:p>
    <w:p>
      <w:pPr>
        <w:spacing w:after="160"/>
        <w:ind w:left="1000"/>
      </w:pPr>
      <w:r>
        <w:rPr>
          <w:color w:val="455A64"/>
          <w:sz w:val="22"/>
        </w:rPr>
        <w:t>How to run the VCO Knowledge Management Discovery &amp; Requirements Capture Workbook</w:t>
      </w:r>
    </w:p>
    <w:p>
      <w:pPr>
        <w:ind w:left="1000"/>
      </w:pPr>
      <w:r>
        <w:rPr>
          <w:color w:val="7A8B94"/>
          <w:sz w:val="19"/>
        </w:rPr>
        <w:t>Enterprise Knowledge Management Programme  |  August 2026</w:t>
      </w:r>
    </w:p>
    <w:p>
      <w:pPr>
        <w:sectPr>
          <w:type w:val="nextPage"/>
          <w:pgSz w:w="11906" w:h="16838"/>
          <w:pgMar w:top="0" w:right="0" w:bottom="0" w:left="0" w:header="0" w:footer="0"/>
          <w:titlePg/>
        </w:sectPr>
      </w:pPr>
    </w:p>
    <w:p>
      <w:pPr>
        <w:pStyle w:val="Heading1"/>
      </w:pPr>
      <w:r>
        <w:t>Contents</w:t>
      </w:r>
      <w:bookmarkStart w:name="_Toc101" w:id="101"/>
      <w:bookmarkEnd w:id="101"/>
    </w:p>
    <w:p>
      <w:pPr>
        <w:spacing w:after="280"/>
      </w:pPr>
      <w:r>
        <w:rPr>
          <w:color w:val="7A8B94"/>
          <w:sz w:val="18"/>
        </w:rPr>
        <w:t>Page numbers refresh when the document opens (or right-click &gt; Update Field).</w:t>
      </w:r>
    </w:p>
    <w:p>
      <w:r>
        <w:fldChar w:fldCharType="begin"/>
      </w:r>
      <w:r>
        <w:instrText xml:space="preserve"> TOC \o "1-2" \h \z \u </w:instrText>
      </w:r>
      <w:r>
        <w:fldChar w:fldCharType="separate"/>
      </w:r>
    </w:p>
    <w:p>
      <w:pPr>
        <w:pStyle w:val="TOC1"/>
      </w:pPr>
      <w:r>
        <w:t>1. What this workbook is and when to use it</w:t>
      </w:r>
      <w:r>
        <w:tab/>
      </w:r>
      <w:r>
        <w:t/>
      </w:r>
    </w:p>
    <w:p>
      <w:pPr>
        <w:pStyle w:val="TOC1"/>
      </w:pPr>
      <w:r>
        <w:t>2. The staged approach at a glance</w:t>
      </w:r>
      <w:r>
        <w:tab/>
      </w:r>
      <w:r>
        <w:t/>
      </w:r>
    </w:p>
    <w:p>
      <w:pPr>
        <w:pStyle w:val="TOC1"/>
      </w:pPr>
      <w:r>
        <w:t>3. How to fill in any module</w:t>
      </w:r>
      <w:r>
        <w:tab/>
      </w:r>
      <w:r>
        <w:t/>
      </w:r>
    </w:p>
    <w:p>
      <w:pPr>
        <w:pStyle w:val="TOC1"/>
      </w:pPr>
      <w:r>
        <w:t>4. Module-by-module instructions</w:t>
      </w:r>
      <w:r>
        <w:tab/>
      </w:r>
      <w:r>
        <w:t/>
      </w:r>
    </w:p>
    <w:p>
      <w:pPr>
        <w:pStyle w:val="TOC2"/>
      </w:pPr>
      <w:r>
        <w:t>Module 1 — What's Produced</w:t>
      </w:r>
      <w:r>
        <w:tab/>
      </w:r>
      <w:r>
        <w:t/>
      </w:r>
    </w:p>
    <w:p>
      <w:pPr>
        <w:pStyle w:val="TOC2"/>
      </w:pPr>
      <w:r>
        <w:t>Module 2 — Systems &amp; Formats</w:t>
      </w:r>
      <w:r>
        <w:tab/>
      </w:r>
      <w:r>
        <w:t/>
      </w:r>
    </w:p>
    <w:p>
      <w:pPr>
        <w:pStyle w:val="TOC2"/>
      </w:pPr>
      <w:r>
        <w:t>Module 3 — How Outputs Are Used</w:t>
      </w:r>
      <w:r>
        <w:tab/>
      </w:r>
      <w:r>
        <w:t/>
      </w:r>
    </w:p>
    <w:p>
      <w:pPr>
        <w:pStyle w:val="TOC2"/>
      </w:pPr>
      <w:r>
        <w:t>Module 4 — People &amp; Know-How</w:t>
      </w:r>
      <w:r>
        <w:tab/>
      </w:r>
      <w:r>
        <w:t/>
      </w:r>
    </w:p>
    <w:p>
      <w:pPr>
        <w:pStyle w:val="TOC2"/>
      </w:pPr>
      <w:r>
        <w:t>Module 5 — Pain Points</w:t>
      </w:r>
      <w:r>
        <w:tab/>
      </w:r>
      <w:r>
        <w:t/>
      </w:r>
    </w:p>
    <w:p>
      <w:pPr>
        <w:pStyle w:val="TOC2"/>
      </w:pPr>
      <w:r>
        <w:t>Module 6 — What We Need</w:t>
      </w:r>
      <w:r>
        <w:tab/>
      </w:r>
      <w:r>
        <w:t/>
      </w:r>
    </w:p>
    <w:p>
      <w:pPr>
        <w:pStyle w:val="TOC1"/>
      </w:pPr>
      <w:r>
        <w:t>5. Keeping the workbook tidy</w:t>
      </w:r>
      <w:r>
        <w:tab/>
      </w:r>
      <w:r>
        <w:t/>
      </w:r>
    </w:p>
    <w:p>
      <w:pPr>
        <w:pStyle w:val="TOC1"/>
      </w:pPr>
      <w:r>
        <w:t>6. What happens after capture</w:t>
      </w:r>
      <w:r>
        <w:tab/>
      </w:r>
      <w:r>
        <w:t/>
      </w:r>
    </w:p>
    <w:p>
      <w:r>
        <w:fldChar w:fldCharType="end"/>
      </w:r>
    </w:p>
    <w:p>
      <w:pPr>
        <w:sectPr>
          <w:type w:val="nextPage"/>
          <w:pgSz w:w="11906" w:h="16838"/>
          <w:pgMar w:top="1800" w:right="1440" w:bottom="1440" w:left="1440" w:header="720" w:footer="720"/>
        </w:sectPr>
      </w:pPr>
    </w:p>
    <w:p>
      <w:pPr>
        <w:pStyle w:val="Heading1"/>
      </w:pPr>
      <w:r>
        <w:t>1. What this workbook is and when to use it</w:t>
      </w:r>
      <w:bookmarkStart w:name="_Toc102" w:id="102"/>
      <w:bookmarkEnd w:id="102"/>
    </w:p>
    <w:p>
      <w:r>
        <w:t>The workbook ("VCO KM Discovery and Requirements Capture Workbook.xlsx") is a structured interviewing and capture tool. Its job is to build a complete, plain-language picture of the knowledge the business already produces — every report, review, matrix, spreadsheet, meeting note, logbook, email thread, and piece of hard-won experience — together with where each one lives, who uses it, what it is used for, and what happens to it afterward.</w:t>
      </w:r>
    </w:p>
    <w:p>
      <w:r>
        <w:t>The teams already run lookbacks, backcasts, post-audits, maturity assessments, and regular CI reporting. That means a large amount of valuable material already exists — it is simply scattered across systems, formats, folders, and people. This workbook captures that landscape systematically, so the future enterprise knowledge management capability is designed around what is real, not what is assumed.</w:t>
      </w:r>
    </w:p>
    <w:p>
      <w:r>
        <w:t>Use it when you need to:</w:t>
      </w:r>
    </w:p>
    <w:p>
      <w:pPr>
        <w:numPr>
          <w:ilvl w:val="0"/>
          <w:numId w:val="2"/>
        </w:numPr>
      </w:pPr>
      <w:r>
        <w:t>prepare for building a knowledge management capability (inventory first, design second);</w:t>
      </w:r>
    </w:p>
    <w:p>
      <w:pPr>
        <w:numPr>
          <w:ilvl w:val="0"/>
          <w:numId w:val="2"/>
        </w:numPr>
      </w:pPr>
      <w:r>
        <w:t>collect requirements from the business without overwhelming people — the work is broken into six small modules;</w:t>
      </w:r>
    </w:p>
    <w:p>
      <w:pPr>
        <w:numPr>
          <w:ilvl w:val="0"/>
          <w:numId w:val="2"/>
        </w:numPr>
      </w:pPr>
      <w:r>
        <w:t>create a defensible evidence base (real items, real pain points, real people at risk) for investment decisions.</w:t>
      </w:r>
    </w:p>
    <w:tbl>
      <w:tblPr>
        <w:tblW w:w="5000" w:type="pct"/>
        <w:tblBorders>
          <w:top w:val="single" w:color="78909C" w:sz="6"/>
          <w:left w:val="single" w:color="78909C" w:sz="6"/>
          <w:bottom w:val="single" w:color="78909C" w:sz="6"/>
          <w:right w:val="single" w:color="78909C" w:sz="6"/>
        </w:tblBorders>
      </w:tblPr>
      <w:tblGrid>
        <w:gridCol w:w="9600"/>
      </w:tblGrid>
      <w:tr>
        <w:tc>
          <w:tcPr>
            <w:tcW w:w="9600" w:type="dxa"/>
            <w:shd w:val="clear" w:fill="F4F7F8"/>
          </w:tcPr>
          <w:p>
            <w:pPr>
              <w:spacing w:before="80" w:after="80"/>
            </w:pPr>
            <w:r>
              <w:rPr>
                <w:b/>
                <w:color w:val="37474F"/>
              </w:rPr>
              <w:t>Tip — </w:t>
            </w:r>
            <w:r>
              <w:rPr>
                <w:color w:val="455A64"/>
              </w:rPr>
              <w:t>The golden rule: inventory before design. Resist proposing tools or platforms while capturing — the workbook records what exists and what is needed, not what should be bought.</w:t>
            </w:r>
          </w:p>
        </w:tc>
      </w:tr>
    </w:tbl>
    <w:p>
      <w:pPr>
        <w:pStyle w:val="Heading1"/>
      </w:pPr>
      <w:r>
        <w:t>2. The staged approach at a glance</w:t>
      </w:r>
      <w:bookmarkStart w:name="_Toc103" w:id="103"/>
      <w:bookmarkEnd w:id="103"/>
    </w:p>
    <w:p>
      <w:r>
        <w:t>The workbook is deliberately modular. You do not need to gather everything at once — run one stage, absorb the results, then run the next. Each stage answers one question:</w:t>
      </w:r>
    </w:p>
    <w:tbl>
      <w:tblPr>
        <w:tblW w:w="5000" w:type="pct"/>
        <w:tblBorders>
          <w:top w:val="single" w:color="37474F" w:sz="12"/>
          <w:bottom w:val="single" w:color="37474F" w:sz="12"/>
          <w:insideH w:val="single" w:color="CFD8DC" w:sz="4"/>
        </w:tblBorders>
      </w:tblPr>
      <w:tblGrid>
        <w:gridCol w:w="1800"/>
        <w:gridCol w:w="3400"/>
        <w:gridCol w:w="2600"/>
        <w:gridCol w:w="2600"/>
        <w:gridCol w:w="1800"/>
      </w:tblGrid>
      <w:tr>
        <w:trPr>
          <w:tblHeader/>
        </w:trPr>
        <w:tc>
          <w:tcPr>
            <w:tcW w:w="1800" w:type="dxa"/>
            <w:shd w:val="clear" w:fill="ECEFF1"/>
          </w:tcPr>
          <w:p>
            <w:pPr>
              <w:spacing w:before="40" w:after="40"/>
            </w:pPr>
            <w:r>
              <w:rPr>
                <w:b/>
                <w:color w:val="263238"/>
                <w:sz w:val="19"/>
              </w:rPr>
              <w:t>Stage</w:t>
            </w:r>
          </w:p>
        </w:tc>
        <w:tc>
          <w:tcPr>
            <w:tcW w:w="3400" w:type="dxa"/>
            <w:shd w:val="clear" w:fill="ECEFF1"/>
          </w:tcPr>
          <w:p>
            <w:pPr>
              <w:spacing w:before="40" w:after="40"/>
            </w:pPr>
            <w:r>
              <w:rPr>
                <w:b/>
                <w:color w:val="263238"/>
                <w:sz w:val="19"/>
              </w:rPr>
              <w:t>Question it answers</w:t>
            </w:r>
          </w:p>
        </w:tc>
        <w:tc>
          <w:tcPr>
            <w:tcW w:w="2600" w:type="dxa"/>
            <w:shd w:val="clear" w:fill="ECEFF1"/>
          </w:tcPr>
          <w:p>
            <w:pPr>
              <w:spacing w:before="40" w:after="40"/>
            </w:pPr>
            <w:r>
              <w:rPr>
                <w:b/>
                <w:color w:val="263238"/>
                <w:sz w:val="19"/>
              </w:rPr>
              <w:t>Sheets</w:t>
            </w:r>
          </w:p>
        </w:tc>
        <w:tc>
          <w:tcPr>
            <w:tcW w:w="2600" w:type="dxa"/>
            <w:shd w:val="clear" w:fill="ECEFF1"/>
          </w:tcPr>
          <w:p>
            <w:pPr>
              <w:spacing w:before="40" w:after="40"/>
            </w:pPr>
            <w:r>
              <w:rPr>
                <w:b/>
                <w:color w:val="263238"/>
                <w:sz w:val="19"/>
              </w:rPr>
              <w:t>Who to involve</w:t>
            </w:r>
          </w:p>
        </w:tc>
        <w:tc>
          <w:tcPr>
            <w:tcW w:w="1800" w:type="dxa"/>
            <w:shd w:val="clear" w:fill="ECEFF1"/>
          </w:tcPr>
          <w:p>
            <w:pPr>
              <w:spacing w:before="40" w:after="40"/>
            </w:pPr>
            <w:r>
              <w:rPr>
                <w:b/>
                <w:color w:val="263238"/>
                <w:sz w:val="19"/>
              </w:rPr>
              <w:t>Typical effort</w:t>
            </w:r>
          </w:p>
        </w:tc>
      </w:tr>
      <w:tr>
        <w:tc>
          <w:tcPr>
            <w:tcW w:w="1800" w:type="dxa"/>
          </w:tcPr>
          <w:p>
            <w:pPr>
              <w:spacing w:before="40" w:after="40"/>
            </w:pPr>
            <w:r>
              <w:rPr>
                <w:color w:val="455A64"/>
                <w:sz w:val="19"/>
              </w:rPr>
              <w:t>1 — What exists</w:t>
            </w:r>
          </w:p>
        </w:tc>
        <w:tc>
          <w:tcPr>
            <w:tcW w:w="3400" w:type="dxa"/>
          </w:tcPr>
          <w:p>
            <w:pPr>
              <w:spacing w:before="40" w:after="40"/>
            </w:pPr>
            <w:r>
              <w:rPr>
                <w:color w:val="455A64"/>
                <w:sz w:val="19"/>
              </w:rPr>
              <w:t>What do we already produce, and where does it live?</w:t>
            </w:r>
          </w:p>
        </w:tc>
        <w:tc>
          <w:tcPr>
            <w:tcW w:w="2600" w:type="dxa"/>
          </w:tcPr>
          <w:p>
            <w:pPr>
              <w:spacing w:before="40" w:after="40"/>
            </w:pPr>
            <w:r>
              <w:rPr>
                <w:color w:val="455A64"/>
                <w:sz w:val="19"/>
              </w:rPr>
              <w:t>M1 What's Produced; M2 Systems &amp; Formats</w:t>
            </w:r>
          </w:p>
        </w:tc>
        <w:tc>
          <w:tcPr>
            <w:tcW w:w="2600" w:type="dxa"/>
          </w:tcPr>
          <w:p>
            <w:pPr>
              <w:spacing w:before="40" w:after="40"/>
            </w:pPr>
            <w:r>
              <w:rPr>
                <w:color w:val="455A64"/>
                <w:sz w:val="19"/>
              </w:rPr>
              <w:t>People who produce the outputs; IT</w:t>
            </w:r>
          </w:p>
        </w:tc>
        <w:tc>
          <w:tcPr>
            <w:tcW w:w="1800" w:type="dxa"/>
          </w:tcPr>
          <w:p>
            <w:pPr>
              <w:spacing w:before="40" w:after="40"/>
            </w:pPr>
            <w:r>
              <w:rPr>
                <w:color w:val="455A64"/>
                <w:sz w:val="19"/>
              </w:rPr>
              <w:t>1-2 short sessions + IT input</w:t>
            </w:r>
          </w:p>
        </w:tc>
      </w:tr>
      <w:tr>
        <w:tc>
          <w:tcPr>
            <w:tcW w:w="1800" w:type="dxa"/>
          </w:tcPr>
          <w:p>
            <w:pPr>
              <w:spacing w:before="40" w:after="40"/>
            </w:pPr>
            <w:r>
              <w:rPr>
                <w:color w:val="455A64"/>
                <w:sz w:val="19"/>
              </w:rPr>
              <w:t>2 — How it's used</w:t>
            </w:r>
          </w:p>
        </w:tc>
        <w:tc>
          <w:tcPr>
            <w:tcW w:w="3400" w:type="dxa"/>
          </w:tcPr>
          <w:p>
            <w:pPr>
              <w:spacing w:before="40" w:after="40"/>
            </w:pPr>
            <w:r>
              <w:rPr>
                <w:color w:val="455A64"/>
                <w:sz w:val="19"/>
              </w:rPr>
              <w:t>What is it all for, and does anything change as a result?</w:t>
            </w:r>
          </w:p>
        </w:tc>
        <w:tc>
          <w:tcPr>
            <w:tcW w:w="2600" w:type="dxa"/>
          </w:tcPr>
          <w:p>
            <w:pPr>
              <w:spacing w:before="40" w:after="40"/>
            </w:pPr>
            <w:r>
              <w:rPr>
                <w:color w:val="455A64"/>
                <w:sz w:val="19"/>
              </w:rPr>
              <w:t>M3 How Outputs Are Used</w:t>
            </w:r>
          </w:p>
        </w:tc>
        <w:tc>
          <w:tcPr>
            <w:tcW w:w="2600" w:type="dxa"/>
          </w:tcPr>
          <w:p>
            <w:pPr>
              <w:spacing w:before="40" w:after="40"/>
            </w:pPr>
            <w:r>
              <w:rPr>
                <w:color w:val="455A64"/>
                <w:sz w:val="19"/>
              </w:rPr>
              <w:t>People who use the outputs</w:t>
            </w:r>
          </w:p>
        </w:tc>
        <w:tc>
          <w:tcPr>
            <w:tcW w:w="1800" w:type="dxa"/>
          </w:tcPr>
          <w:p>
            <w:pPr>
              <w:spacing w:before="40" w:after="40"/>
            </w:pPr>
            <w:r>
              <w:rPr>
                <w:color w:val="455A64"/>
                <w:sz w:val="19"/>
              </w:rPr>
              <w:t>1-2 sessions</w:t>
            </w:r>
          </w:p>
        </w:tc>
      </w:tr>
      <w:tr>
        <w:tc>
          <w:tcPr>
            <w:tcW w:w="1800" w:type="dxa"/>
          </w:tcPr>
          <w:p>
            <w:pPr>
              <w:spacing w:before="40" w:after="40"/>
            </w:pPr>
            <w:r>
              <w:rPr>
                <w:color w:val="455A64"/>
                <w:sz w:val="19"/>
              </w:rPr>
              <w:t>3 — People &amp; problems</w:t>
            </w:r>
          </w:p>
        </w:tc>
        <w:tc>
          <w:tcPr>
            <w:tcW w:w="3400" w:type="dxa"/>
          </w:tcPr>
          <w:p>
            <w:pPr>
              <w:spacing w:before="40" w:after="40"/>
            </w:pPr>
            <w:r>
              <w:rPr>
                <w:color w:val="455A64"/>
                <w:sz w:val="19"/>
              </w:rPr>
              <w:t>What know-how is unwritten, and where does it hurt today?</w:t>
            </w:r>
          </w:p>
        </w:tc>
        <w:tc>
          <w:tcPr>
            <w:tcW w:w="2600" w:type="dxa"/>
          </w:tcPr>
          <w:p>
            <w:pPr>
              <w:spacing w:before="40" w:after="40"/>
            </w:pPr>
            <w:r>
              <w:rPr>
                <w:color w:val="455A64"/>
                <w:sz w:val="19"/>
              </w:rPr>
              <w:t>M4 People &amp; Know-How; M5 Pain Points</w:t>
            </w:r>
          </w:p>
        </w:tc>
        <w:tc>
          <w:tcPr>
            <w:tcW w:w="2600" w:type="dxa"/>
          </w:tcPr>
          <w:p>
            <w:pPr>
              <w:spacing w:before="40" w:after="40"/>
            </w:pPr>
            <w:r>
              <w:rPr>
                <w:color w:val="455A64"/>
                <w:sz w:val="19"/>
              </w:rPr>
              <w:t>Managers, experienced staff; open workshop</w:t>
            </w:r>
          </w:p>
        </w:tc>
        <w:tc>
          <w:tcPr>
            <w:tcW w:w="1800" w:type="dxa"/>
          </w:tcPr>
          <w:p>
            <w:pPr>
              <w:spacing w:before="40" w:after="40"/>
            </w:pPr>
            <w:r>
              <w:rPr>
                <w:color w:val="455A64"/>
                <w:sz w:val="19"/>
              </w:rPr>
              <w:t>Interviews + 1 workshop</w:t>
            </w:r>
          </w:p>
        </w:tc>
      </w:tr>
      <w:tr>
        <w:tc>
          <w:tcPr>
            <w:tcW w:w="1800" w:type="dxa"/>
          </w:tcPr>
          <w:p>
            <w:pPr>
              <w:spacing w:before="40" w:after="40"/>
            </w:pPr>
            <w:r>
              <w:rPr>
                <w:color w:val="455A64"/>
                <w:sz w:val="19"/>
              </w:rPr>
              <w:t>4 — What's needed</w:t>
            </w:r>
          </w:p>
        </w:tc>
        <w:tc>
          <w:tcPr>
            <w:tcW w:w="3400" w:type="dxa"/>
          </w:tcPr>
          <w:p>
            <w:pPr>
              <w:spacing w:before="40" w:after="40"/>
            </w:pPr>
            <w:r>
              <w:rPr>
                <w:color w:val="455A64"/>
                <w:sz w:val="19"/>
              </w:rPr>
              <w:t>What must the future capability deliver, in what order?</w:t>
            </w:r>
          </w:p>
        </w:tc>
        <w:tc>
          <w:tcPr>
            <w:tcW w:w="2600" w:type="dxa"/>
          </w:tcPr>
          <w:p>
            <w:pPr>
              <w:spacing w:before="40" w:after="40"/>
            </w:pPr>
            <w:r>
              <w:rPr>
                <w:color w:val="455A64"/>
                <w:sz w:val="19"/>
              </w:rPr>
              <w:t>M6 What We Need</w:t>
            </w:r>
          </w:p>
        </w:tc>
        <w:tc>
          <w:tcPr>
            <w:tcW w:w="2600" w:type="dxa"/>
          </w:tcPr>
          <w:p>
            <w:pPr>
              <w:spacing w:before="40" w:after="40"/>
            </w:pPr>
            <w:r>
              <w:rPr>
                <w:color w:val="455A64"/>
                <w:sz w:val="19"/>
              </w:rPr>
              <w:t>Sponsor + module leads</w:t>
            </w:r>
          </w:p>
        </w:tc>
        <w:tc>
          <w:tcPr>
            <w:tcW w:w="1800" w:type="dxa"/>
          </w:tcPr>
          <w:p>
            <w:pPr>
              <w:spacing w:before="40" w:after="40"/>
            </w:pPr>
            <w:r>
              <w:rPr>
                <w:color w:val="455A64"/>
                <w:sz w:val="19"/>
              </w:rPr>
              <w:t>1 session</w:t>
            </w:r>
          </w:p>
        </w:tc>
      </w:tr>
    </w:tbl>
    <w:p>
      <w:r>
        <w:t>Modules can also be reused later — for example, repeat Module 1 for a new site or function, or refresh Module 4 each year as people rotate. The sheets are independent; IDs (P-, S-, PP-, N-) link them without forcing sequence.</w:t>
      </w:r>
    </w:p>
    <w:p>
      <w:pPr>
        <w:pStyle w:val="Heading1"/>
      </w:pPr>
      <w:r>
        <w:t>3. How to fill in any module</w:t>
      </w:r>
      <w:bookmarkStart w:name="_Toc104" w:id="104"/>
      <w:bookmarkEnd w:id="104"/>
    </w:p>
    <w:p>
      <w:r>
        <w:t>Every module sheet works the same way:</w:t>
      </w:r>
    </w:p>
    <w:p>
      <w:pPr>
        <w:numPr>
          <w:ilvl w:val="0"/>
          <w:numId w:val="1"/>
        </w:numPr>
      </w:pPr>
      <w:r>
        <w:rPr>
          <w:b/>
        </w:rPr>
        <w:t>Read the definition row. </w:t>
      </w:r>
      <w:r>
        <w:t>Directly beneath the column headers there is a grey row explaining, in plain words, what goes in each column.</w:t>
      </w:r>
    </w:p>
    <w:p>
      <w:pPr>
        <w:numPr>
          <w:ilvl w:val="0"/>
          <w:numId w:val="1"/>
        </w:numPr>
      </w:pPr>
      <w:r>
        <w:rPr>
          <w:b/>
        </w:rPr>
        <w:t>Copy the example rows. </w:t>
      </w:r>
      <w:r>
        <w:t>The first rows of each module are shaded grey and marked EXAMPLE — they show the expected style and level of detail. Overwrite or delete them as real entries are added.</w:t>
      </w:r>
    </w:p>
    <w:p>
      <w:pPr>
        <w:numPr>
          <w:ilvl w:val="0"/>
          <w:numId w:val="1"/>
        </w:numPr>
      </w:pPr>
      <w:r>
        <w:rPr>
          <w:b/>
        </w:rPr>
        <w:t>Use the dropdowns. </w:t>
      </w:r>
      <w:r>
        <w:t>Columns like Format, Condition, Priority, and Status have dropdown lists. Pick the closest option; put anything unusual in Notes.</w:t>
      </w:r>
    </w:p>
    <w:p>
      <w:pPr>
        <w:numPr>
          <w:ilvl w:val="0"/>
          <w:numId w:val="1"/>
        </w:numPr>
      </w:pPr>
      <w:r>
        <w:rPr>
          <w:b/>
        </w:rPr>
        <w:t>Give everything an ID. </w:t>
      </w:r>
      <w:r>
        <w:t>Short codes (P-01 for items, S-01 for systems, PP-01 for pain points, N-01 for needs) let sheets reference each other — e.g. a pain point can cite the item that could not be found.</w:t>
      </w:r>
    </w:p>
    <w:p>
      <w:pPr>
        <w:numPr>
          <w:ilvl w:val="0"/>
          <w:numId w:val="1"/>
        </w:numPr>
      </w:pPr>
      <w:r>
        <w:rPr>
          <w:b/>
        </w:rPr>
        <w:t>Rough now beats perfect never. </w:t>
      </w:r>
      <w:r>
        <w:t>A quick entry made in the session is worth more than a precise one planned for later. Mark uncertainty honestly ("Don't know" is a valid dropdown choice).</w:t>
      </w:r>
    </w:p>
    <w:tbl>
      <w:tblPr>
        <w:tblW w:w="5000" w:type="pct"/>
        <w:tblBorders>
          <w:top w:val="single" w:color="78909C" w:sz="6"/>
          <w:left w:val="single" w:color="78909C" w:sz="6"/>
          <w:bottom w:val="single" w:color="78909C" w:sz="6"/>
          <w:right w:val="single" w:color="78909C" w:sz="6"/>
        </w:tblBorders>
      </w:tblPr>
      <w:tblGrid>
        <w:gridCol w:w="9600"/>
      </w:tblGrid>
      <w:tr>
        <w:tc>
          <w:tcPr>
            <w:tcW w:w="9600" w:type="dxa"/>
            <w:shd w:val="clear" w:fill="F4F7F8"/>
          </w:tcPr>
          <w:p>
            <w:pPr>
              <w:spacing w:before="80" w:after="80"/>
            </w:pPr>
            <w:r>
              <w:rPr>
                <w:b/>
                <w:color w:val="37474F"/>
              </w:rPr>
              <w:t>Tip — </w:t>
            </w:r>
            <w:r>
              <w:rPr>
                <w:color w:val="455A64"/>
              </w:rPr>
              <w:t>For anyone without project background: the 'Glossary &amp; Examples' sheet explains every term in plain language and includes a checklist of 21 typical items to look for when completing Module 1.</w:t>
            </w:r>
          </w:p>
        </w:tc>
      </w:tr>
    </w:tbl>
    <w:p>
      <w:pPr>
        <w:pStyle w:val="Heading1"/>
      </w:pPr>
      <w:r>
        <w:t>4. Module-by-module instructions</w:t>
      </w:r>
      <w:bookmarkStart w:name="_Toc105" w:id="105"/>
      <w:bookmarkEnd w:id="105"/>
    </w:p>
    <w:p>
      <w:pPr>
        <w:pStyle w:val="Heading2"/>
      </w:pPr>
      <w:r>
        <w:t>Module 1 — What's Produced (knowledge inventory)</w:t>
      </w:r>
    </w:p>
    <w:p>
      <w:r>
        <w:t>The foundation. One row per output the work produces: lookback matrices, margin bridges, backcast reports, post-audits, CI reports, minutes, logbooks, decision emails — everything.</w:t>
      </w:r>
    </w:p>
    <w:p>
      <w:pPr>
        <w:numPr>
          <w:ilvl w:val="0"/>
          <w:numId w:val="2"/>
        </w:numPr>
      </w:pPr>
      <w:r>
        <w:t>Who runs it: the people who produce the outputs (CI team, planners, schedulers, controllers), in 1-2 short sessions.</w:t>
      </w:r>
    </w:p>
    <w:p>
      <w:pPr>
        <w:numPr>
          <w:ilvl w:val="0"/>
          <w:numId w:val="2"/>
        </w:numPr>
      </w:pPr>
      <w:r>
        <w:t>How: work through the checklist on the Glossary sheet; for each item, capture what it is, which process creates it, how often, in what tool and format, where it is stored, who owns it, its condition, and how easy it is to find.</w:t>
      </w:r>
    </w:p>
    <w:p>
      <w:pPr>
        <w:numPr>
          <w:ilvl w:val="0"/>
          <w:numId w:val="2"/>
        </w:numPr>
      </w:pPr>
      <w:r>
        <w:t>Watch for: items with no clear owner; the same report kept in several places; items only the producer can find (the sheet flags these automatically in red).</w:t>
      </w:r>
    </w:p>
    <w:p>
      <w:pPr>
        <w:numPr>
          <w:ilvl w:val="0"/>
          <w:numId w:val="2"/>
        </w:numPr>
      </w:pPr>
      <w:r>
        <w:t>Output: a complete inventory with IDs — the input to every later module.</w:t>
      </w:r>
    </w:p>
    <w:p>
      <w:pPr>
        <w:pStyle w:val="Heading2"/>
      </w:pPr>
      <w:r>
        <w:t>Module 2 — Systems &amp; Formats (where it all lives)</w:t>
      </w:r>
    </w:p>
    <w:p>
      <w:r>
        <w:t>Maps the tools and storage locations behind Module 1: planning model environment, ERP, shared drives, SharePoint, logbook systems, mailboxes.</w:t>
      </w:r>
    </w:p>
    <w:p>
      <w:pPr>
        <w:numPr>
          <w:ilvl w:val="0"/>
          <w:numId w:val="2"/>
        </w:numPr>
      </w:pPr>
      <w:r>
        <w:t>Who runs it: IT plus one regular user per system.</w:t>
      </w:r>
    </w:p>
    <w:p>
      <w:pPr>
        <w:numPr>
          <w:ilvl w:val="0"/>
          <w:numId w:val="2"/>
        </w:numPr>
      </w:pPr>
      <w:r>
        <w:t>How: one row per system — what it's used for, which Module 1 items it holds (cite their IDs), who can access it, how searchable it is, and how long content is kept.</w:t>
      </w:r>
    </w:p>
    <w:p>
      <w:pPr>
        <w:numPr>
          <w:ilvl w:val="0"/>
          <w:numId w:val="2"/>
        </w:numPr>
      </w:pPr>
      <w:r>
        <w:t>Watch for: systems only a few people can search; knowledge locked in mailboxes or vendor formats; "no rule" retention.</w:t>
      </w:r>
    </w:p>
    <w:p>
      <w:pPr>
        <w:numPr>
          <w:ilvl w:val="0"/>
          <w:numId w:val="2"/>
        </w:numPr>
      </w:pPr>
      <w:r>
        <w:t>Output: the systems landscape — later it defines where the knowledge capability must connect, not just where files sit.</w:t>
      </w:r>
    </w:p>
    <w:p>
      <w:pPr>
        <w:pStyle w:val="Heading2"/>
      </w:pPr>
      <w:r>
        <w:t>Module 3 — How Outputs Are Used (the purpose test)</w:t>
      </w:r>
    </w:p>
    <w:p>
      <w:r>
        <w:t>For each Module 1 item, record who uses it, what for, which process step it feeds — and the critical question: what happens next? Does a finding actually change a plan, a model, a procedure, or a decision — or is it filed and forgotten? And is follow-up ever verified?</w:t>
      </w:r>
    </w:p>
    <w:p>
      <w:pPr>
        <w:numPr>
          <w:ilvl w:val="0"/>
          <w:numId w:val="2"/>
        </w:numPr>
      </w:pPr>
      <w:r>
        <w:t>Who runs it: the people who use the outputs (often different from the producers).</w:t>
      </w:r>
    </w:p>
    <w:p>
      <w:pPr>
        <w:numPr>
          <w:ilvl w:val="0"/>
          <w:numId w:val="2"/>
        </w:numPr>
      </w:pPr>
      <w:r>
        <w:t>How: pull item IDs from Module 1; be honest — "Filed, no further use" is a common and valuable answer.</w:t>
      </w:r>
    </w:p>
    <w:p>
      <w:pPr>
        <w:numPr>
          <w:ilvl w:val="0"/>
          <w:numId w:val="2"/>
        </w:numPr>
      </w:pPr>
      <w:r>
        <w:t>Watch for: the column "What's hard to reconstruct later" — the missing context (assumptions, alternatives, who decided) is exactly what the future system must capture.</w:t>
      </w:r>
    </w:p>
    <w:p>
      <w:pPr>
        <w:numPr>
          <w:ilvl w:val="0"/>
          <w:numId w:val="2"/>
        </w:numPr>
      </w:pPr>
      <w:r>
        <w:t>Output: the usage and follow-up map — evidence of which outputs create value and which evaporate.</w:t>
      </w:r>
    </w:p>
    <w:p>
      <w:pPr>
        <w:pStyle w:val="Heading2"/>
      </w:pPr>
      <w:r>
        <w:t>Module 4 — People &amp; Know-How (the human layer)</w:t>
      </w:r>
    </w:p>
    <w:p>
      <w:r>
        <w:t>Identifies critical knowledge that exists only in people's heads — planning judgment, workarounds, pattern recognition — and the exposure if those people rotate, retire, or leave.</w:t>
      </w:r>
    </w:p>
    <w:p>
      <w:pPr>
        <w:numPr>
          <w:ilvl w:val="0"/>
          <w:numId w:val="2"/>
        </w:numPr>
      </w:pPr>
      <w:r>
        <w:t>Who runs it: short interviews with managers and experienced staff; roles can replace names if preferred.</w:t>
      </w:r>
    </w:p>
    <w:p>
      <w:pPr>
        <w:numPr>
          <w:ilvl w:val="0"/>
          <w:numId w:val="2"/>
        </w:numPr>
      </w:pPr>
      <w:r>
        <w:t>How: for each person/role, capture what they know that isn't written down, where it shows up in decisions, who else has it, the risk of losing it and when they might leave.</w:t>
      </w:r>
    </w:p>
    <w:p>
      <w:pPr>
        <w:numPr>
          <w:ilvl w:val="0"/>
          <w:numId w:val="2"/>
        </w:numPr>
      </w:pPr>
      <w:r>
        <w:t>Watch for: single holders of critical judgment (flagged in red); upcoming retirements and rotations.</w:t>
      </w:r>
    </w:p>
    <w:p>
      <w:pPr>
        <w:numPr>
          <w:ilvl w:val="0"/>
          <w:numId w:val="2"/>
        </w:numPr>
      </w:pPr>
      <w:r>
        <w:t>Output: a prioritized list of people to interview or shadow before knowledge walks out the door.</w:t>
      </w:r>
    </w:p>
    <w:p>
      <w:pPr>
        <w:pStyle w:val="Heading2"/>
      </w:pPr>
      <w:r>
        <w:t>Module 5 — Pain Points (the case for change)</w:t>
      </w:r>
    </w:p>
    <w:p>
      <w:r>
        <w:t>Captures where the current situation hurts, in the business's own words: the same problem coming back, knowledge leaving with a person, decisions made without past learning, or simply not being able to find things.</w:t>
      </w:r>
    </w:p>
    <w:p>
      <w:pPr>
        <w:numPr>
          <w:ilvl w:val="0"/>
          <w:numId w:val="2"/>
        </w:numPr>
      </w:pPr>
      <w:r>
        <w:t>Who runs it: an open workshop works well — capture every example raised.</w:t>
      </w:r>
    </w:p>
    <w:p>
      <w:pPr>
        <w:numPr>
          <w:ilvl w:val="0"/>
          <w:numId w:val="2"/>
        </w:numPr>
      </w:pPr>
      <w:r>
        <w:t>How: one row per pain point, with a real story or instance wherever possible ("2024 turnaround: prior lessons only found afterward in an old project folder"). Rough cost estimates are welcome.</w:t>
      </w:r>
    </w:p>
    <w:p>
      <w:pPr>
        <w:numPr>
          <w:ilvl w:val="0"/>
          <w:numId w:val="2"/>
        </w:numPr>
      </w:pPr>
      <w:r>
        <w:t>Watch for: pain types repeat across sites — recurring patterns are stronger evidence than one-off anecdotes.</w:t>
      </w:r>
    </w:p>
    <w:p>
      <w:pPr>
        <w:numPr>
          <w:ilvl w:val="0"/>
          <w:numId w:val="2"/>
        </w:numPr>
      </w:pPr>
      <w:r>
        <w:t>Output: the evidence base for the business case and the requirements in Module 6.</w:t>
      </w:r>
    </w:p>
    <w:p>
      <w:pPr>
        <w:pStyle w:val="Heading2"/>
      </w:pPr>
      <w:r>
        <w:t>Module 6 — What We Need (requirements)</w:t>
      </w:r>
    </w:p>
    <w:p>
      <w:r>
        <w:t>Turns the evidence into a prioritized statement of what the future knowledge capability must do — written as outcomes ("anyone can find the last turnaround review in under a minute"), not as tools or products.</w:t>
      </w:r>
    </w:p>
    <w:p>
      <w:pPr>
        <w:numPr>
          <w:ilvl w:val="0"/>
          <w:numId w:val="2"/>
        </w:numPr>
      </w:pPr>
      <w:r>
        <w:t>Who runs it: the sponsor plus the people who ran the earlier modules.</w:t>
      </w:r>
    </w:p>
    <w:p>
      <w:pPr>
        <w:numPr>
          <w:ilvl w:val="0"/>
          <w:numId w:val="2"/>
        </w:numPr>
      </w:pPr>
      <w:r>
        <w:t>How: one row per need. Reference the pain points (PP-…) and items (P-…) it addresses, who benefits, what "good" looks like, priority (Must/Should/Could), and which release it belongs to.</w:t>
      </w:r>
    </w:p>
    <w:p>
      <w:pPr>
        <w:numPr>
          <w:ilvl w:val="0"/>
          <w:numId w:val="2"/>
        </w:numPr>
      </w:pPr>
      <w:r>
        <w:t>Watch for: any need that does not trace back to a captured pain point or a captured asset — challenge whether it belongs.</w:t>
      </w:r>
    </w:p>
    <w:p>
      <w:pPr>
        <w:numPr>
          <w:ilvl w:val="0"/>
          <w:numId w:val="2"/>
        </w:numPr>
      </w:pPr>
      <w:r>
        <w:t>Output: the agreed, evidence-backed requirements baseline for design.</w:t>
      </w:r>
    </w:p>
    <w:p>
      <w:pPr>
        <w:pStyle w:val="Heading1"/>
      </w:pPr>
      <w:r>
        <w:t>5. Keeping the workbook tidy</w:t>
      </w:r>
      <w:bookmarkStart w:name="_Toc106" w:id="106"/>
      <w:bookmarkEnd w:id="106"/>
    </w:p>
    <w:p>
      <w:pPr>
        <w:numPr>
          <w:ilvl w:val="0"/>
          <w:numId w:val="2"/>
        </w:numPr>
      </w:pPr>
      <w:r>
        <w:t>One master copy. Nominate a single owner for the workbook; circulate exports for reading, not parallel copies for editing.</w:t>
      </w:r>
    </w:p>
    <w:p>
      <w:pPr>
        <w:numPr>
          <w:ilvl w:val="0"/>
          <w:numId w:val="2"/>
        </w:numPr>
      </w:pPr>
      <w:r>
        <w:t>IDs are permanent. Never reuse or renumber IDs — Module 3, 5 and 6 reference them.</w:t>
      </w:r>
    </w:p>
    <w:p>
      <w:pPr>
        <w:numPr>
          <w:ilvl w:val="0"/>
          <w:numId w:val="2"/>
        </w:numPr>
      </w:pPr>
      <w:r>
        <w:t>Replace examples early. The grey EXAMPLE rows are scaffolding; remove them once real entries exist so reports aren't confused.</w:t>
      </w:r>
    </w:p>
    <w:p>
      <w:pPr>
        <w:numPr>
          <w:ilvl w:val="0"/>
          <w:numId w:val="2"/>
        </w:numPr>
      </w:pPr>
      <w:r>
        <w:t>Filter, don't sort wildly. Each module has filters and frozen headers — use filters for views rather than reordering rows others are referencing.</w:t>
      </w:r>
    </w:p>
    <w:p>
      <w:pPr>
        <w:numPr>
          <w:ilvl w:val="0"/>
          <w:numId w:val="2"/>
        </w:numPr>
      </w:pPr>
      <w:r>
        <w:t>Version by date. Save a dated copy at the end of each stage (e.g. "…Workbook_Stage1_2026-09.xlsx") so you can show how the picture evolved.</w:t>
      </w:r>
    </w:p>
    <w:p>
      <w:pPr>
        <w:pStyle w:val="Heading1"/>
      </w:pPr>
      <w:r>
        <w:t>6. What happens after capture</w:t>
      </w:r>
      <w:bookmarkStart w:name="_Toc107" w:id="107"/>
      <w:bookmarkEnd w:id="107"/>
    </w:p>
    <w:p>
      <w:r>
        <w:t>The completed workbook is not the end product — it is the design input. In brief: the inventory (Modules 1-2) defines what must be migrated and connected; the usage map (Module 3) defines the capture templates and follow-up workflows; the people map (Module 4) defines the elicitation programme; the pain points (Module 5) define the business case and priorities; and the needs (Module 6) become the ratified requirements baseline the enterprise knowledge management capability is designed and sequenced against.</w:t>
      </w:r>
    </w:p>
    <w:p>
      <w:r>
        <w:t>The companion document — "From Discovery to Enterprise Knowledge Management: The Build Roadmap" — describes this path in full: how each module's output maps to a component of the future capability, the build sequence, governance, and how success is measured.</w:t>
      </w:r>
    </w:p>
    <w:p>
      <w:pPr>
        <w:sectPr>
          <w:headerReference w:type="default" r:id="Rdafeb28a72a44de8"/>
          <w:footerReference w:type="default" r:id="R08ad3d1a1ad34e24"/>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d0634c05f9b144f2"/>
                    <a:stretch>
                      <a:fillRect/>
                    </a:stretch>
                  </pic:blipFill>
                  <pic:spPr>
                    <a:xfrm>
                      <a:off x="0" y="0"/>
                      <a:ext cx="7560000" cy="10692000"/>
                    </a:xfrm>
                    <a:prstGeom prst="rect"/>
                  </pic:spPr>
                </pic:pic>
              </a:graphicData>
            </a:graphic>
          </wp:anchor>
        </w:drawing>
      </w:r>
    </w:p>
    <w:p>
      <w:pPr>
        <w:spacing w:before="6800"/>
        <w:jc w:val="center"/>
      </w:pPr>
      <w:r>
        <w:rPr>
          <w:b/>
          <w:color w:val="37474F"/>
          <w:sz w:val="40"/>
        </w:rPr>
        <w:t>Inventory first. Design second.</w:t>
      </w:r>
    </w:p>
    <w:p>
      <w:pPr>
        <w:spacing w:before="300"/>
        <w:jc w:val="center"/>
      </w:pPr>
      <w:r>
        <w:rPr>
          <w:color w:val="7A8B94"/>
          <w:sz w:val="20"/>
        </w:rPr>
        <w:t>Enterprise Knowledge Management Programme  |  August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A8B94"/>
        <w:sz w:val="18"/>
      </w:rPr>
      <w:fldChar w:fldCharType="begin"/>
    </w:r>
    <w:r>
      <w:rPr>
        <w:color w:val="7A8B94"/>
        <w:sz w:val="18"/>
      </w:rPr>
      <w:instrText xml:space="preserve"> PAGE </w:instrText>
    </w:r>
    <w:r>
      <w:rPr>
        <w:color w:val="7A8B94"/>
        <w:sz w:val="18"/>
      </w:rPr>
      <w:fldChar w:fldCharType="separate"/>
    </w:r>
    <w:r>
      <w:rPr>
        <w:color w:val="7A8B94"/>
        <w:sz w:val="18"/>
      </w:rPr>
      <w:t>1</w:t>
    </w:r>
    <w:r>
      <w:rPr>
        <w:color w:val="7A8B94"/>
        <w:sz w:val="18"/>
      </w:rPr>
      <w:fldChar w:fldCharType="end"/>
    </w:r>
  </w:p>
</w:ftr>
</file>

<file path=word/header1.xml><?xml version="1.0" encoding="utf-8"?>
<w:hdr xmlns:w="http://schemas.openxmlformats.org/wordprocessingml/2006/main">
  <w:p>
    <w:pPr>
      <w:jc w:val="right"/>
    </w:pPr>
    <w:r>
      <w:rPr>
        <w:color w:val="7A8B94"/>
        <w:sz w:val="18"/>
      </w:rPr>
      <w:t>Discovery &amp; Requirements Capture — User Guide</w:t>
    </w:r>
  </w:p>
</w:hdr>
</file>

<file path=word/numbering.xml><?xml version="1.0" encoding="utf-8"?>
<w:numbering xmlns:w="http://schemas.openxmlformats.org/wordprocessingml/2006/main">
  <w:abstractNum w:abstractNumId="1">
    <w:lvl w:ilvl="0">
      <w:start w:val="1"/>
      <w:numFmt w:val="decimal"/>
      <w:lvlText w:val="%1."/>
      <w:lvlJc w:val="left"/>
      <w:pPr>
        <w:ind w:left="720" w:hanging="360"/>
      </w:pPr>
    </w:lvl>
  </w:abstractNum>
  <w:abstractNum w:abstractNumId="2">
    <w:lvl w:ilvl="0">
      <w:numFmt w:val="bullet"/>
      <w:lvlText w:val="•"/>
      <w:lvlJc w:val="left"/>
      <w:pPr>
        <w:ind w:left="720" w:hanging="36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263238"/>
      <w:sz w:val="21"/>
    </w:rPr>
  </w:style>
  <w:style w:type="paragraph" w:styleId="Heading1">
    <w:name w:val="heading 1"/>
    <w:basedOn w:val="Normal"/>
    <w:pPr>
      <w:keepNext/>
      <w:keepLines/>
      <w:spacing w:before="560" w:after="200"/>
      <w:outlineLvl w:val="0"/>
    </w:pPr>
    <w:rPr>
      <w:rFonts w:ascii="Calibri" w:hAnsi="Calibri" w:eastAsia="Microsoft YaHei"/>
      <w:b/>
      <w:color w:val="37474F"/>
      <w:sz w:val="32"/>
    </w:rPr>
  </w:style>
  <w:style w:type="paragraph" w:styleId="Heading2">
    <w:name w:val="heading 2"/>
    <w:basedOn w:val="Normal"/>
    <w:pPr>
      <w:keepNext/>
      <w:keepLines/>
      <w:spacing w:before="380" w:after="140"/>
      <w:outlineLvl w:val="1"/>
    </w:pPr>
    <w:rPr>
      <w:rFonts w:ascii="Calibri" w:hAnsi="Calibri" w:eastAsia="Microsoft YaHei"/>
      <w:b/>
      <w:color w:val="546E7A"/>
      <w:sz w:val="26"/>
    </w:rPr>
  </w:style>
  <w:style w:type="paragraph" w:styleId="Heading3">
    <w:name w:val="heading 3"/>
    <w:basedOn w:val="Normal"/>
    <w:pPr>
      <w:keepNext/>
      <w:keepLines/>
      <w:spacing w:before="260" w:after="100"/>
      <w:outlineLvl w:val="2"/>
    </w:pPr>
    <w:rPr>
      <w:rFonts w:ascii="Calibri" w:hAnsi="Calibri" w:eastAsia="Microsoft YaHei"/>
      <w:b/>
      <w:color w:val="455A64"/>
      <w:sz w:val="22"/>
    </w:rPr>
  </w:style>
  <w:style w:type="paragraph" w:styleId="Caption">
    <w:name w:val="Caption"/>
    <w:basedOn w:val="Normal"/>
    <w:pPr>
      <w:spacing w:before="60" w:after="300"/>
      <w:jc w:val="center"/>
    </w:pPr>
    <w:rPr>
      <w:color w:val="7A8B94"/>
      <w:sz w:val="19"/>
    </w:rPr>
  </w:style>
  <w:style w:type="paragraph" w:styleId="TOC1">
    <w:name w:val="toc 1"/>
    <w:basedOn w:val="Normal"/>
    <w:pPr>
      <w:tabs>
        <w:tab w:val="right" w:leader="dot" w:pos="9350"/>
      </w:tabs>
      <w:spacing w:before="180" w:after="60"/>
      <w:ind w:left="0"/>
    </w:pPr>
    <w:rPr>
      <w:b/>
      <w:color w:val="263238"/>
    </w:rPr>
  </w:style>
  <w:style w:type="paragraph" w:styleId="TOC2">
    <w:name w:val="toc 2"/>
    <w:basedOn w:val="Normal"/>
    <w:pPr>
      <w:tabs>
        <w:tab w:val="right" w:leader="dot" w:pos="9350"/>
      </w:tabs>
      <w:spacing w:before="40" w:after="60"/>
      <w:ind w:left="360"/>
    </w:pPr>
    <w:rPr>
      <w:color w:val="455A64"/>
    </w:rPr>
  </w:style>
</w:styles>
</file>

<file path=word/_rels/document.xml.rels><?xml version='1.0' encoding='UTF-8'?>
<Relationships xmlns="http://schemas.openxmlformats.org/package/2006/relationships"><Relationship Type="http://schemas.openxmlformats.org/officeDocument/2006/relationships/styles" Target="styles.xml" Id="R1345012c362b4ebf" /><Relationship Type="http://schemas.openxmlformats.org/officeDocument/2006/relationships/numbering" Target="numbering.xml" Id="Rd164aea1a9c445a8" /><Relationship Type="http://schemas.openxmlformats.org/officeDocument/2006/relationships/image" Target="media/image.png" Id="Rc50a9e9c80bb4fd9" /><Relationship Type="http://schemas.openxmlformats.org/officeDocument/2006/relationships/image" Target="media/image2.png" Id="Rd0634c05f9b144f2" /><Relationship Type="http://schemas.openxmlformats.org/officeDocument/2006/relationships/header" Target="header1.xml" Id="Rdafeb28a72a44de8" /><Relationship Type="http://schemas.openxmlformats.org/officeDocument/2006/relationships/footer" Target="footer1.xml" Id="R08ad3d1a1ad34e24" /><Relationship Type="http://schemas.openxmlformats.org/officeDocument/2006/relationships/settings" Target="settings.xml" Id="Re54fe3c50d7b4f1a" /></Relationships>
</file>