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eastAsia="Calibri"/>
          <w:b/>
          <w:sz w:val="22"/>
        </w:rPr>
        <w:t>Enterprise Knowledge Management Programme</w:t>
      </w:r>
    </w:p>
    <w:p>
      <w:pPr>
        <w:spacing w:after="80" w:before="0"/>
      </w:pPr>
      <w:r>
        <w:rPr>
          <w:rFonts w:ascii="Calibri" w:hAnsi="Calibri" w:eastAsia="Calibri"/>
          <w:b/>
          <w:sz w:val="44"/>
        </w:rPr>
        <w:t>From Discovery to Enterprise Knowledge Management</w:t>
      </w:r>
    </w:p>
    <w:p>
      <w:pPr>
        <w:spacing w:after="80" w:before="0"/>
      </w:pPr>
      <w:r>
        <w:rPr>
          <w:rFonts w:ascii="Calibri" w:hAnsi="Calibri" w:eastAsia="Calibri"/>
          <w:b w:val="0"/>
          <w:sz w:val="24"/>
        </w:rPr>
        <w:t>The Build Roadmap</w:t>
      </w:r>
    </w:p>
    <w:p>
      <w:pPr>
        <w:spacing w:after="320" w:before="0"/>
      </w:pPr>
      <w:r>
        <w:rPr>
          <w:rFonts w:ascii="Calibri" w:hAnsi="Calibri" w:eastAsia="Calibri"/>
          <w:b w:val="0"/>
          <w:sz w:val="20"/>
        </w:rPr>
        <w:t>Companion to the User Guide and CI-KM-discovery-workbook_V2.xlsx  |  August 2026</w:t>
      </w:r>
    </w:p>
    <w:p>
      <w:pPr>
        <w:pStyle w:val="Heading2"/>
      </w:pPr>
      <w:r>
        <w:rPr>
          <w:rFonts w:ascii="Calibri" w:hAnsi="Calibri" w:eastAsia="Calibri"/>
          <w:b/>
          <w:sz w:val="26"/>
        </w:rPr>
        <w:t>1. The logic: capture what exists, then build what lasts</w:t>
      </w:r>
    </w:p>
    <w:p>
      <w:pPr>
        <w:spacing w:after="160" w:before="0"/>
      </w:pPr>
      <w:r>
        <w:rPr>
          <w:rFonts w:ascii="Calibri" w:hAnsi="Calibri" w:eastAsia="Calibri"/>
          <w:b w:val="0"/>
          <w:sz w:val="22"/>
        </w:rPr>
        <w:t>Knowledge management programs most often fail in one of two ways: they build a repository nobody uses, or they buy a tool before understanding what knowledge actually exists and how it flows. Both failures come from designing before inventorying.</w:t>
      </w:r>
    </w:p>
    <w:p>
      <w:pPr>
        <w:spacing w:after="160" w:before="0"/>
      </w:pPr>
      <w:r>
        <w:rPr>
          <w:rFonts w:ascii="Calibri" w:hAnsi="Calibri" w:eastAsia="Calibri"/>
          <w:b w:val="0"/>
          <w:sz w:val="22"/>
        </w:rPr>
        <w:t>This programme inverts that order. The CI-KM discovery workbook (CI-KM-discovery-workbook_V2.xlsx) first documents the reality on the ground: the business already runs lookbacks, backcasts, post-audits, maturity assessments, and recurring CI reporting. That existing output is the raw material of the enterprise knowledge management capability.</w:t>
      </w:r>
    </w:p>
    <w:p>
      <w:pPr>
        <w:spacing w:after="160" w:before="0"/>
      </w:pPr>
      <w:r>
        <w:rPr>
          <w:rFonts w:ascii="Calibri" w:hAnsi="Calibri" w:eastAsia="Calibri"/>
          <w:b/>
          <w:sz w:val="22"/>
        </w:rPr>
        <w:t>Guiding principle: decisions change when knowledge reaches them. The capability succeeds when a past lesson changes a plan, a procedure, or a decision, not when a repository fills up.</w:t>
      </w:r>
    </w:p>
    <w:p>
      <w:pPr>
        <w:pStyle w:val="Heading2"/>
      </w:pPr>
      <w:r>
        <w:rPr>
          <w:rFonts w:ascii="Calibri" w:hAnsi="Calibri" w:eastAsia="Calibri"/>
          <w:b/>
          <w:sz w:val="26"/>
        </w:rPr>
        <w:t>2. How each discovery module feeds the capability</w:t>
      </w:r>
    </w:p>
    <w:p>
      <w:pPr>
        <w:spacing w:after="160" w:before="0"/>
      </w:pPr>
      <w:r>
        <w:rPr>
          <w:rFonts w:ascii="Calibri" w:hAnsi="Calibri" w:eastAsia="Calibri"/>
          <w:b w:val="0"/>
          <w:sz w:val="22"/>
        </w:rPr>
        <w:t>Nothing captured during discovery is wasted. Each sheet maps to a component of the future capability.</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Discovery output (workbook sheet)</w:t>
            </w:r>
          </w:p>
        </w:tc>
        <w:tc>
          <w:tcPr>
            <w:tcW w:type="dxa" w:w="4680"/>
          </w:tcPr>
          <w:p>
            <w:r/>
            <w:r>
              <w:rPr>
                <w:rFonts w:ascii="Calibri" w:hAnsi="Calibri" w:eastAsia="Calibri"/>
                <w:b/>
                <w:sz w:val="20"/>
              </w:rPr>
              <w:t>What it becomes in the build</w:t>
            </w:r>
          </w:p>
        </w:tc>
      </w:tr>
      <w:tr>
        <w:tc>
          <w:tcPr>
            <w:tcW w:type="dxa" w:w="4680"/>
          </w:tcPr>
          <w:p>
            <w:r/>
            <w:r>
              <w:rPr>
                <w:rFonts w:ascii="Calibri" w:hAnsi="Calibri" w:eastAsia="Calibri"/>
                <w:b w:val="0"/>
                <w:sz w:val="20"/>
              </w:rPr>
              <w:t>Coverage - sites and teams interviewed</w:t>
            </w:r>
          </w:p>
        </w:tc>
        <w:tc>
          <w:tcPr>
            <w:tcW w:type="dxa" w:w="4680"/>
          </w:tcPr>
          <w:p>
            <w:r/>
            <w:r>
              <w:rPr>
                <w:rFonts w:ascii="Calibri" w:hAnsi="Calibri" w:eastAsia="Calibri"/>
                <w:b w:val="0"/>
                <w:sz w:val="20"/>
              </w:rPr>
              <w:t>The rollout map: which sites and teams are done, and who is still missing</w:t>
            </w:r>
          </w:p>
        </w:tc>
      </w:tr>
      <w:tr>
        <w:tc>
          <w:tcPr>
            <w:tcW w:type="dxa" w:w="4680"/>
          </w:tcPr>
          <w:p>
            <w:r/>
            <w:r>
              <w:rPr>
                <w:rFonts w:ascii="Calibri" w:hAnsi="Calibri" w:eastAsia="Calibri"/>
                <w:b w:val="0"/>
                <w:sz w:val="20"/>
              </w:rPr>
              <w:t>M1 Produced - inventory (complete vs trust to reuse, findability)</w:t>
            </w:r>
          </w:p>
        </w:tc>
        <w:tc>
          <w:tcPr>
            <w:tcW w:type="dxa" w:w="4680"/>
          </w:tcPr>
          <w:p>
            <w:r/>
            <w:r>
              <w:rPr>
                <w:rFonts w:ascii="Calibri" w:hAnsi="Calibri" w:eastAsia="Calibri"/>
                <w:b w:val="0"/>
                <w:sz w:val="20"/>
              </w:rPr>
              <w:t>The migration and onboarding list; what is safe to reuse</w:t>
            </w:r>
          </w:p>
        </w:tc>
      </w:tr>
      <w:tr>
        <w:tc>
          <w:tcPr>
            <w:tcW w:type="dxa" w:w="4680"/>
          </w:tcPr>
          <w:p>
            <w:r/>
            <w:r>
              <w:rPr>
                <w:rFonts w:ascii="Calibri" w:hAnsi="Calibri" w:eastAsia="Calibri"/>
                <w:b w:val="0"/>
                <w:sz w:val="20"/>
              </w:rPr>
              <w:t>M2 Systems - systems and folders</w:t>
            </w:r>
          </w:p>
        </w:tc>
        <w:tc>
          <w:tcPr>
            <w:tcW w:type="dxa" w:w="4680"/>
          </w:tcPr>
          <w:p>
            <w:r/>
            <w:r>
              <w:rPr>
                <w:rFonts w:ascii="Calibri" w:hAnsi="Calibri" w:eastAsia="Calibri"/>
                <w:b w:val="0"/>
                <w:sz w:val="20"/>
              </w:rPr>
              <w:t>The integration and access map</w:t>
            </w:r>
          </w:p>
        </w:tc>
      </w:tr>
      <w:tr>
        <w:tc>
          <w:tcPr>
            <w:tcW w:type="dxa" w:w="4680"/>
          </w:tcPr>
          <w:p>
            <w:r/>
            <w:r>
              <w:rPr>
                <w:rFonts w:ascii="Calibri" w:hAnsi="Calibri" w:eastAsia="Calibri"/>
                <w:b w:val="0"/>
                <w:sz w:val="20"/>
              </w:rPr>
              <w:t>M3 How used - usage, follow-up, and the four closures</w:t>
            </w:r>
          </w:p>
        </w:tc>
        <w:tc>
          <w:tcPr>
            <w:tcW w:type="dxa" w:w="4680"/>
          </w:tcPr>
          <w:p>
            <w:r/>
            <w:r>
              <w:rPr>
                <w:rFonts w:ascii="Calibri" w:hAnsi="Calibri" w:eastAsia="Calibri"/>
                <w:b w:val="0"/>
                <w:sz w:val="20"/>
              </w:rPr>
              <w:t>Capture templates and follow-up workflows. The four closures: planning model; procedure or standard; next plan; a persons know-how written down</w:t>
            </w:r>
          </w:p>
        </w:tc>
      </w:tr>
      <w:tr>
        <w:tc>
          <w:tcPr>
            <w:tcW w:type="dxa" w:w="4680"/>
          </w:tcPr>
          <w:p>
            <w:r/>
            <w:r>
              <w:rPr>
                <w:rFonts w:ascii="Calibri" w:hAnsi="Calibri" w:eastAsia="Calibri"/>
                <w:b w:val="0"/>
                <w:sz w:val="20"/>
              </w:rPr>
              <w:t>M4 People - know-how at risk (K- IDs; how big, why, when)</w:t>
            </w:r>
          </w:p>
        </w:tc>
        <w:tc>
          <w:tcPr>
            <w:tcW w:type="dxa" w:w="4680"/>
          </w:tcPr>
          <w:p>
            <w:r/>
            <w:r>
              <w:rPr>
                <w:rFonts w:ascii="Calibri" w:hAnsi="Calibri" w:eastAsia="Calibri"/>
                <w:b w:val="0"/>
                <w:sz w:val="20"/>
              </w:rPr>
              <w:t>The elicitation programme: who is interviewed or shadowed first</w:t>
            </w:r>
          </w:p>
        </w:tc>
      </w:tr>
      <w:tr>
        <w:tc>
          <w:tcPr>
            <w:tcW w:type="dxa" w:w="4680"/>
          </w:tcPr>
          <w:p>
            <w:r/>
            <w:r>
              <w:rPr>
                <w:rFonts w:ascii="Calibri" w:hAnsi="Calibri" w:eastAsia="Calibri"/>
                <w:b w:val="0"/>
                <w:sz w:val="20"/>
              </w:rPr>
              <w:t>M5 Pains - tagged to the eight research gaps</w:t>
            </w:r>
          </w:p>
        </w:tc>
        <w:tc>
          <w:tcPr>
            <w:tcW w:type="dxa" w:w="4680"/>
          </w:tcPr>
          <w:p>
            <w:r/>
            <w:r>
              <w:rPr>
                <w:rFonts w:ascii="Calibri" w:hAnsi="Calibri" w:eastAsia="Calibri"/>
                <w:b w:val="0"/>
                <w:sz w:val="20"/>
              </w:rPr>
              <w:t>The business case and priority order. A gap with no M5 or M6 tag is still open</w:t>
            </w:r>
          </w:p>
        </w:tc>
      </w:tr>
      <w:tr>
        <w:tc>
          <w:tcPr>
            <w:tcW w:type="dxa" w:w="4680"/>
          </w:tcPr>
          <w:p>
            <w:r/>
            <w:r>
              <w:rPr>
                <w:rFonts w:ascii="Calibri" w:hAnsi="Calibri" w:eastAsia="Calibri"/>
                <w:b w:val="0"/>
                <w:sz w:val="20"/>
              </w:rPr>
              <w:t>M6 Needs - outcomes with Horizon</w:t>
            </w:r>
          </w:p>
        </w:tc>
        <w:tc>
          <w:tcPr>
            <w:tcW w:type="dxa" w:w="4680"/>
          </w:tcPr>
          <w:p>
            <w:r/>
            <w:r>
              <w:rPr>
                <w:rFonts w:ascii="Calibri" w:hAnsi="Calibri" w:eastAsia="Calibri"/>
                <w:b w:val="0"/>
                <w:sz w:val="20"/>
              </w:rPr>
              <w:t>The ratified requirements baseline, traceable to PP-, P-, or K- IDs. Horizon is when we would build, not the workbook fill-order stage</w:t>
            </w:r>
          </w:p>
        </w:tc>
      </w:tr>
    </w:tbl>
    <w:p/>
    <w:p>
      <w:pPr>
        <w:pStyle w:val="Heading2"/>
      </w:pPr>
      <w:r>
        <w:rPr>
          <w:rFonts w:ascii="Calibri" w:hAnsi="Calibri" w:eastAsia="Calibri"/>
          <w:b/>
          <w:sz w:val="26"/>
        </w:rPr>
        <w:t>3. What the enterprise KM capability consists of</w:t>
      </w:r>
    </w:p>
    <w:p>
      <w:pPr>
        <w:spacing w:after="160" w:before="0"/>
      </w:pPr>
      <w:r>
        <w:rPr>
          <w:rFonts w:ascii="Calibri" w:hAnsi="Calibri" w:eastAsia="Calibri"/>
          <w:b w:val="0"/>
          <w:sz w:val="22"/>
        </w:rPr>
        <w:t>The capability is six components. Each exists to fix something the discovery work documented. The build logic is unchanged.</w:t>
      </w:r>
    </w:p>
    <w:p>
      <w:pPr>
        <w:pStyle w:val="ListBullet"/>
        <w:spacing w:after="60"/>
      </w:pPr>
      <w:r>
        <w:rPr>
          <w:rFonts w:ascii="Calibri" w:hAnsi="Calibri" w:eastAsia="Calibri"/>
          <w:b w:val="0"/>
          <w:sz w:val="22"/>
        </w:rPr>
        <w:t>One managed home for knowledge, built from the M1 inventory (including complete vs trust to reuse).</w:t>
      </w:r>
    </w:p>
    <w:p>
      <w:pPr>
        <w:pStyle w:val="ListBullet"/>
        <w:spacing w:after="60"/>
      </w:pPr>
      <w:r>
        <w:rPr>
          <w:rFonts w:ascii="Calibri" w:hAnsi="Calibri" w:eastAsia="Calibri"/>
          <w:b w:val="0"/>
          <w:sz w:val="22"/>
        </w:rPr>
        <w:t>Standard capture templates, designed from M3 what is hard to reconstruct later.</w:t>
      </w:r>
    </w:p>
    <w:p>
      <w:pPr>
        <w:pStyle w:val="ListBullet"/>
        <w:spacing w:after="60"/>
      </w:pPr>
      <w:r>
        <w:rPr>
          <w:rFonts w:ascii="Calibri" w:hAnsi="Calibri" w:eastAsia="Calibri"/>
          <w:b w:val="0"/>
          <w:sz w:val="22"/>
        </w:rPr>
        <w:t>Trust labels (quality tiers): approved and validated; reviewed; as-captured; raw material. These match M1 Can we trust it to reuse?</w:t>
      </w:r>
    </w:p>
    <w:p>
      <w:pPr>
        <w:pStyle w:val="ListBullet"/>
        <w:spacing w:after="60"/>
      </w:pPr>
      <w:r>
        <w:rPr>
          <w:rFonts w:ascii="Calibri" w:hAnsi="Calibri" w:eastAsia="Calibri"/>
          <w:b w:val="0"/>
          <w:sz w:val="22"/>
        </w:rPr>
        <w:t>Follow-up flows (closing the loop), drawn from M3 what happens next, whether follow-up is checked, and which of the four closures applies.</w:t>
      </w:r>
    </w:p>
    <w:p>
      <w:pPr>
        <w:pStyle w:val="ListBullet"/>
        <w:spacing w:after="60"/>
      </w:pPr>
      <w:r>
        <w:rPr>
          <w:rFonts w:ascii="Calibri" w:hAnsi="Calibri" w:eastAsia="Calibri"/>
          <w:b w:val="0"/>
          <w:sz w:val="22"/>
        </w:rPr>
        <w:t>The people programme, from M4 (how big, why, when) and Coverage.</w:t>
      </w:r>
    </w:p>
    <w:p>
      <w:pPr>
        <w:pStyle w:val="ListBullet"/>
        <w:spacing w:after="60"/>
      </w:pPr>
      <w:r>
        <w:rPr>
          <w:rFonts w:ascii="Calibri" w:hAnsi="Calibri" w:eastAsia="Calibri"/>
          <w:b w:val="0"/>
          <w:sz w:val="22"/>
        </w:rPr>
        <w:t>Sustainment and scaling. AI assistance is layered on only once content is curated, labeled, and current.</w:t>
      </w:r>
    </w:p>
    <w:p>
      <w:pPr>
        <w:pStyle w:val="Heading2"/>
      </w:pPr>
      <w:r>
        <w:rPr>
          <w:rFonts w:ascii="Calibri" w:hAnsi="Calibri" w:eastAsia="Calibri"/>
          <w:b/>
          <w:sz w:val="26"/>
        </w:rPr>
        <w:t>4. Designing the architecture: from captured data to enterprise search</w:t>
      </w:r>
    </w:p>
    <w:p>
      <w:pPr>
        <w:spacing w:after="160" w:before="0"/>
      </w:pPr>
      <w:r>
        <w:rPr>
          <w:rFonts w:ascii="Calibri" w:hAnsi="Calibri" w:eastAsia="Calibri"/>
          <w:b w:val="0"/>
          <w:sz w:val="22"/>
        </w:rPr>
        <w:t>This section stays tool-agnostic. It specifies what each layer must do, not which product should provide it.</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Module</w:t>
            </w:r>
          </w:p>
        </w:tc>
        <w:tc>
          <w:tcPr>
            <w:tcW w:type="dxa" w:w="4680"/>
          </w:tcPr>
          <w:p>
            <w:r/>
            <w:r>
              <w:rPr>
                <w:rFonts w:ascii="Calibri" w:hAnsi="Calibri" w:eastAsia="Calibri"/>
                <w:b/>
                <w:sz w:val="20"/>
              </w:rPr>
              <w:t>The design question it answers</w:t>
            </w:r>
          </w:p>
        </w:tc>
      </w:tr>
      <w:tr>
        <w:tc>
          <w:tcPr>
            <w:tcW w:type="dxa" w:w="4680"/>
          </w:tcPr>
          <w:p>
            <w:r/>
            <w:r>
              <w:rPr>
                <w:rFonts w:ascii="Calibri" w:hAnsi="Calibri" w:eastAsia="Calibri"/>
                <w:b w:val="0"/>
                <w:sz w:val="20"/>
              </w:rPr>
              <w:t>M1 Produced</w:t>
            </w:r>
          </w:p>
        </w:tc>
        <w:tc>
          <w:tcPr>
            <w:tcW w:type="dxa" w:w="4680"/>
          </w:tcPr>
          <w:p>
            <w:r/>
            <w:r>
              <w:rPr>
                <w:rFonts w:ascii="Calibri" w:hAnsi="Calibri" w:eastAsia="Calibri"/>
                <w:b w:val="0"/>
                <w:sz w:val="20"/>
              </w:rPr>
              <w:t>What must be ingested, whether it is complete, and whether it is safe to reuse</w:t>
            </w:r>
          </w:p>
        </w:tc>
      </w:tr>
      <w:tr>
        <w:tc>
          <w:tcPr>
            <w:tcW w:type="dxa" w:w="4680"/>
          </w:tcPr>
          <w:p>
            <w:r/>
            <w:r>
              <w:rPr>
                <w:rFonts w:ascii="Calibri" w:hAnsi="Calibri" w:eastAsia="Calibri"/>
                <w:b w:val="0"/>
                <w:sz w:val="20"/>
              </w:rPr>
              <w:t>M2 Systems</w:t>
            </w:r>
          </w:p>
        </w:tc>
        <w:tc>
          <w:tcPr>
            <w:tcW w:type="dxa" w:w="4680"/>
          </w:tcPr>
          <w:p>
            <w:r/>
            <w:r>
              <w:rPr>
                <w:rFonts w:ascii="Calibri" w:hAnsi="Calibri" w:eastAsia="Calibri"/>
                <w:b w:val="0"/>
                <w:sz w:val="20"/>
              </w:rPr>
              <w:t>How to reach it: one connection method per source</w:t>
            </w:r>
          </w:p>
        </w:tc>
      </w:tr>
      <w:tr>
        <w:tc>
          <w:tcPr>
            <w:tcW w:type="dxa" w:w="4680"/>
          </w:tcPr>
          <w:p>
            <w:r/>
            <w:r>
              <w:rPr>
                <w:rFonts w:ascii="Calibri" w:hAnsi="Calibri" w:eastAsia="Calibri"/>
                <w:b w:val="0"/>
                <w:sz w:val="20"/>
              </w:rPr>
              <w:t>M3 How used</w:t>
            </w:r>
          </w:p>
        </w:tc>
        <w:tc>
          <w:tcPr>
            <w:tcW w:type="dxa" w:w="4680"/>
          </w:tcPr>
          <w:p>
            <w:r/>
            <w:r>
              <w:rPr>
                <w:rFonts w:ascii="Calibri" w:hAnsi="Calibri" w:eastAsia="Calibri"/>
                <w:b w:val="0"/>
                <w:sz w:val="20"/>
              </w:rPr>
              <w:t>What people will search for, and which of the four closures a finding is supposed to land in</w:t>
            </w:r>
          </w:p>
        </w:tc>
      </w:tr>
      <w:tr>
        <w:tc>
          <w:tcPr>
            <w:tcW w:type="dxa" w:w="4680"/>
          </w:tcPr>
          <w:p>
            <w:r/>
            <w:r>
              <w:rPr>
                <w:rFonts w:ascii="Calibri" w:hAnsi="Calibri" w:eastAsia="Calibri"/>
                <w:b w:val="0"/>
                <w:sz w:val="20"/>
              </w:rPr>
              <w:t>M4 People</w:t>
            </w:r>
          </w:p>
        </w:tc>
        <w:tc>
          <w:tcPr>
            <w:tcW w:type="dxa" w:w="4680"/>
          </w:tcPr>
          <w:p>
            <w:r/>
            <w:r>
              <w:rPr>
                <w:rFonts w:ascii="Calibri" w:hAnsi="Calibri" w:eastAsia="Calibri"/>
                <w:b w:val="0"/>
                <w:sz w:val="20"/>
              </w:rPr>
              <w:t>Who validates, and whose know-how must be captured first (K- IDs; risk size, reason, timing)</w:t>
            </w:r>
          </w:p>
        </w:tc>
      </w:tr>
      <w:tr>
        <w:tc>
          <w:tcPr>
            <w:tcW w:type="dxa" w:w="4680"/>
          </w:tcPr>
          <w:p>
            <w:r/>
            <w:r>
              <w:rPr>
                <w:rFonts w:ascii="Calibri" w:hAnsi="Calibri" w:eastAsia="Calibri"/>
                <w:b w:val="0"/>
                <w:sz w:val="20"/>
              </w:rPr>
              <w:t>M5 Pains</w:t>
            </w:r>
          </w:p>
        </w:tc>
        <w:tc>
          <w:tcPr>
            <w:tcW w:type="dxa" w:w="4680"/>
          </w:tcPr>
          <w:p>
            <w:r/>
            <w:r>
              <w:rPr>
                <w:rFonts w:ascii="Calibri" w:hAnsi="Calibri" w:eastAsia="Calibri"/>
                <w:b w:val="0"/>
                <w:sz w:val="20"/>
              </w:rPr>
              <w:t>What must work first, tagged to the eight research gaps</w:t>
            </w:r>
          </w:p>
        </w:tc>
      </w:tr>
      <w:tr>
        <w:tc>
          <w:tcPr>
            <w:tcW w:type="dxa" w:w="4680"/>
          </w:tcPr>
          <w:p>
            <w:r/>
            <w:r>
              <w:rPr>
                <w:rFonts w:ascii="Calibri" w:hAnsi="Calibri" w:eastAsia="Calibri"/>
                <w:b w:val="0"/>
                <w:sz w:val="20"/>
              </w:rPr>
              <w:t>M6 Needs</w:t>
            </w:r>
          </w:p>
        </w:tc>
        <w:tc>
          <w:tcPr>
            <w:tcW w:type="dxa" w:w="4680"/>
          </w:tcPr>
          <w:p>
            <w:r/>
            <w:r>
              <w:rPr>
                <w:rFonts w:ascii="Calibri" w:hAnsi="Calibri" w:eastAsia="Calibri"/>
                <w:b w:val="0"/>
                <w:sz w:val="20"/>
              </w:rPr>
              <w:t>What good looks like, and when we would build it (Horizon: first release, later, or future)</w:t>
            </w:r>
          </w:p>
        </w:tc>
      </w:tr>
    </w:tbl>
    <w:p/>
    <w:p>
      <w:pPr>
        <w:spacing w:after="160" w:before="0"/>
      </w:pPr>
      <w:r>
        <w:rPr>
          <w:rFonts w:ascii="Calibri" w:hAnsi="Calibri" w:eastAsia="Calibri"/>
          <w:b w:val="0"/>
          <w:sz w:val="22"/>
        </w:rPr>
        <w:t>The target architecture remains five layers: ingestion (one shared record), distillation (structured card, original linked), knowledge layer (a small ontology), retrieval (exact words, meaning, and links), and access (a search page and a machine interface, with permissions from day one).</w:t>
      </w:r>
    </w:p>
    <w:p>
      <w:pPr>
        <w:spacing w:after="160" w:before="0"/>
      </w:pPr>
      <w:r>
        <w:rPr>
          <w:rFonts w:ascii="Calibri" w:hAnsi="Calibri" w:eastAsia="Calibri"/>
          <w:b w:val="0"/>
          <w:sz w:val="22"/>
        </w:rPr>
        <w:t>The four closures are architectural, not administrative: 1) finding updates the planning model; 2) lesson becomes a procedure or standard; 3) finding updates the next plan or pathway; 4) a persons know-how is written into the system. Without that loop, the store holds decisions but no consequences.</w:t>
      </w:r>
    </w:p>
    <w:p>
      <w:pPr>
        <w:spacing w:after="160" w:before="0"/>
      </w:pPr>
      <w:r>
        <w:rPr>
          <w:rFonts w:ascii="Calibri" w:hAnsi="Calibri" w:eastAsia="Calibri"/>
          <w:b w:val="0"/>
          <w:sz w:val="22"/>
        </w:rPr>
        <w:t>The starter vocabulary, the consequence loop, and the six-phase mapping to architecture layers are unchanged from the previous roadmap. They still hold.</w:t>
      </w:r>
    </w:p>
    <w:p>
      <w:pPr>
        <w:pStyle w:val="Heading2"/>
      </w:pPr>
      <w:r>
        <w:rPr>
          <w:rFonts w:ascii="Calibri" w:hAnsi="Calibri" w:eastAsia="Calibri"/>
          <w:b/>
          <w:sz w:val="26"/>
        </w:rPr>
        <w:t>5. The build sequence</w:t>
      </w:r>
    </w:p>
    <w:p>
      <w:pPr>
        <w:spacing w:after="160" w:before="0"/>
      </w:pPr>
      <w:r>
        <w:rPr>
          <w:rFonts w:ascii="Calibri" w:hAnsi="Calibri" w:eastAsia="Calibri"/>
          <w:b w:val="0"/>
          <w:sz w:val="22"/>
        </w:rPr>
        <w:t>Six phases, each with an observable gate. Sequencing by evidence, not by calendar.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sz w:val="20"/>
              </w:rPr>
              <w:t>Phase</w:t>
            </w:r>
          </w:p>
        </w:tc>
        <w:tc>
          <w:tcPr>
            <w:tcW w:type="dxa" w:w="3120"/>
          </w:tcPr>
          <w:p>
            <w:r/>
            <w:r>
              <w:rPr>
                <w:rFonts w:ascii="Calibri" w:hAnsi="Calibri" w:eastAsia="Calibri"/>
                <w:b/>
                <w:sz w:val="20"/>
              </w:rPr>
              <w:t>What happens</w:t>
            </w:r>
          </w:p>
        </w:tc>
        <w:tc>
          <w:tcPr>
            <w:tcW w:type="dxa" w:w="3120"/>
          </w:tcPr>
          <w:p>
            <w:r/>
            <w:r>
              <w:rPr>
                <w:rFonts w:ascii="Calibri" w:hAnsi="Calibri" w:eastAsia="Calibri"/>
                <w:b/>
                <w:sz w:val="20"/>
              </w:rPr>
              <w:t>Gate</w:t>
            </w:r>
          </w:p>
        </w:tc>
      </w:tr>
      <w:tr>
        <w:tc>
          <w:tcPr>
            <w:tcW w:type="dxa" w:w="3120"/>
          </w:tcPr>
          <w:p>
            <w:r/>
            <w:r>
              <w:rPr>
                <w:rFonts w:ascii="Calibri" w:hAnsi="Calibri" w:eastAsia="Calibri"/>
                <w:b w:val="0"/>
                <w:sz w:val="20"/>
              </w:rPr>
              <w:t>1. Organize what exists</w:t>
            </w:r>
          </w:p>
        </w:tc>
        <w:tc>
          <w:tcPr>
            <w:tcW w:type="dxa" w:w="3120"/>
          </w:tcPr>
          <w:p>
            <w:r/>
            <w:r>
              <w:rPr>
                <w:rFonts w:ascii="Calibri" w:hAnsi="Calibri" w:eastAsia="Calibri"/>
                <w:b w:val="0"/>
                <w:sz w:val="20"/>
              </w:rPr>
              <w:t>Prioritized M1 items move into the managed home</w:t>
            </w:r>
          </w:p>
        </w:tc>
        <w:tc>
          <w:tcPr>
            <w:tcW w:type="dxa" w:w="3120"/>
          </w:tcPr>
          <w:p>
            <w:r/>
            <w:r>
              <w:rPr>
                <w:rFonts w:ascii="Calibri" w:hAnsi="Calibri" w:eastAsia="Calibri"/>
                <w:b w:val="0"/>
                <w:sz w:val="20"/>
              </w:rPr>
              <w:t>Highest-value items findable in one place, by anyone, in under a minute</w:t>
            </w:r>
          </w:p>
        </w:tc>
      </w:tr>
      <w:tr>
        <w:tc>
          <w:tcPr>
            <w:tcW w:type="dxa" w:w="3120"/>
          </w:tcPr>
          <w:p>
            <w:r/>
            <w:r>
              <w:rPr>
                <w:rFonts w:ascii="Calibri" w:hAnsi="Calibri" w:eastAsia="Calibri"/>
                <w:b w:val="0"/>
                <w:sz w:val="20"/>
              </w:rPr>
              <w:t>2. Set the standards</w:t>
            </w:r>
          </w:p>
        </w:tc>
        <w:tc>
          <w:tcPr>
            <w:tcW w:type="dxa" w:w="3120"/>
          </w:tcPr>
          <w:p>
            <w:r/>
            <w:r>
              <w:rPr>
                <w:rFonts w:ascii="Calibri" w:hAnsi="Calibri" w:eastAsia="Calibri"/>
                <w:b w:val="0"/>
                <w:sz w:val="20"/>
              </w:rPr>
              <w:t>Capture templates, naming, and trust labels agreed</w:t>
            </w:r>
          </w:p>
        </w:tc>
        <w:tc>
          <w:tcPr>
            <w:tcW w:type="dxa" w:w="3120"/>
          </w:tcPr>
          <w:p>
            <w:r/>
            <w:r>
              <w:rPr>
                <w:rFonts w:ascii="Calibri" w:hAnsi="Calibri" w:eastAsia="Calibri"/>
                <w:b w:val="0"/>
                <w:sz w:val="20"/>
              </w:rPr>
              <w:t>New lookbacks, backcasts, and post-audits arrive in the standard template</w:t>
            </w:r>
          </w:p>
        </w:tc>
      </w:tr>
      <w:tr>
        <w:tc>
          <w:tcPr>
            <w:tcW w:type="dxa" w:w="3120"/>
          </w:tcPr>
          <w:p>
            <w:r/>
            <w:r>
              <w:rPr>
                <w:rFonts w:ascii="Calibri" w:hAnsi="Calibri" w:eastAsia="Calibri"/>
                <w:b w:val="0"/>
                <w:sz w:val="20"/>
              </w:rPr>
              <w:t>3. Switch on ownership</w:t>
            </w:r>
          </w:p>
        </w:tc>
        <w:tc>
          <w:tcPr>
            <w:tcW w:type="dxa" w:w="3120"/>
          </w:tcPr>
          <w:p>
            <w:r/>
            <w:r>
              <w:rPr>
                <w:rFonts w:ascii="Calibri" w:hAnsi="Calibri" w:eastAsia="Calibri"/>
                <w:b w:val="0"/>
                <w:sz w:val="20"/>
              </w:rPr>
              <w:t>Owners, review dates, and lifecycle states go live</w:t>
            </w:r>
          </w:p>
        </w:tc>
        <w:tc>
          <w:tcPr>
            <w:tcW w:type="dxa" w:w="3120"/>
          </w:tcPr>
          <w:p>
            <w:r/>
            <w:r>
              <w:rPr>
                <w:rFonts w:ascii="Calibri" w:hAnsi="Calibri" w:eastAsia="Calibri"/>
                <w:b w:val="0"/>
                <w:sz w:val="20"/>
              </w:rPr>
              <w:t>Every high-value item has a named owner and a trust label</w:t>
            </w:r>
          </w:p>
        </w:tc>
      </w:tr>
      <w:tr>
        <w:tc>
          <w:tcPr>
            <w:tcW w:type="dxa" w:w="3120"/>
          </w:tcPr>
          <w:p>
            <w:r/>
            <w:r>
              <w:rPr>
                <w:rFonts w:ascii="Calibri" w:hAnsi="Calibri" w:eastAsia="Calibri"/>
                <w:b w:val="0"/>
                <w:sz w:val="20"/>
              </w:rPr>
              <w:t>4. Pilot the flows</w:t>
            </w:r>
          </w:p>
        </w:tc>
        <w:tc>
          <w:tcPr>
            <w:tcW w:type="dxa" w:w="3120"/>
          </w:tcPr>
          <w:p>
            <w:r/>
            <w:r>
              <w:rPr>
                <w:rFonts w:ascii="Calibri" w:hAnsi="Calibri" w:eastAsia="Calibri"/>
                <w:b w:val="0"/>
                <w:sz w:val="20"/>
              </w:rPr>
              <w:t>One or two high-pain loops go live end-to-end</w:t>
            </w:r>
          </w:p>
        </w:tc>
        <w:tc>
          <w:tcPr>
            <w:tcW w:type="dxa" w:w="3120"/>
          </w:tcPr>
          <w:p>
            <w:r/>
            <w:r>
              <w:rPr>
                <w:rFonts w:ascii="Calibri" w:hAnsi="Calibri" w:eastAsia="Calibri"/>
                <w:b w:val="0"/>
                <w:sz w:val="20"/>
              </w:rPr>
              <w:t>At least one finding changed a plan, model, or procedure, with evidence</w:t>
            </w:r>
          </w:p>
        </w:tc>
      </w:tr>
      <w:tr>
        <w:tc>
          <w:tcPr>
            <w:tcW w:type="dxa" w:w="3120"/>
          </w:tcPr>
          <w:p>
            <w:r/>
            <w:r>
              <w:rPr>
                <w:rFonts w:ascii="Calibri" w:hAnsi="Calibri" w:eastAsia="Calibri"/>
                <w:b w:val="0"/>
                <w:sz w:val="20"/>
              </w:rPr>
              <w:t>5. Elicit and expand</w:t>
            </w:r>
          </w:p>
        </w:tc>
        <w:tc>
          <w:tcPr>
            <w:tcW w:type="dxa" w:w="3120"/>
          </w:tcPr>
          <w:p>
            <w:r/>
            <w:r>
              <w:rPr>
                <w:rFonts w:ascii="Calibri" w:hAnsi="Calibri" w:eastAsia="Calibri"/>
                <w:b w:val="0"/>
                <w:sz w:val="20"/>
              </w:rPr>
              <w:t>Highest-risk know-how captured per the M4 register; expand using Coverage</w:t>
            </w:r>
          </w:p>
        </w:tc>
        <w:tc>
          <w:tcPr>
            <w:tcW w:type="dxa" w:w="3120"/>
          </w:tcPr>
          <w:p>
            <w:r/>
            <w:r>
              <w:rPr>
                <w:rFonts w:ascii="Calibri" w:hAnsi="Calibri" w:eastAsia="Calibri"/>
                <w:b w:val="0"/>
                <w:sz w:val="20"/>
              </w:rPr>
              <w:t>Top at-risk holders documented; adoption in new areas without central pushing</w:t>
            </w:r>
          </w:p>
        </w:tc>
      </w:tr>
      <w:tr>
        <w:tc>
          <w:tcPr>
            <w:tcW w:type="dxa" w:w="3120"/>
          </w:tcPr>
          <w:p>
            <w:r/>
            <w:r>
              <w:rPr>
                <w:rFonts w:ascii="Calibri" w:hAnsi="Calibri" w:eastAsia="Calibri"/>
                <w:b w:val="0"/>
                <w:sz w:val="20"/>
              </w:rPr>
              <w:t>6. Layer AI assistance</w:t>
            </w:r>
          </w:p>
        </w:tc>
        <w:tc>
          <w:tcPr>
            <w:tcW w:type="dxa" w:w="3120"/>
          </w:tcPr>
          <w:p>
            <w:r/>
            <w:r>
              <w:rPr>
                <w:rFonts w:ascii="Calibri" w:hAnsi="Calibri" w:eastAsia="Calibri"/>
                <w:b w:val="0"/>
                <w:sz w:val="20"/>
              </w:rPr>
              <w:t>AI-powered search and drafting over the curated corpus</w:t>
            </w:r>
          </w:p>
        </w:tc>
        <w:tc>
          <w:tcPr>
            <w:tcW w:type="dxa" w:w="3120"/>
          </w:tcPr>
          <w:p>
            <w:r/>
            <w:r>
              <w:rPr>
                <w:rFonts w:ascii="Calibri" w:hAnsi="Calibri" w:eastAsia="Calibri"/>
                <w:b w:val="0"/>
                <w:sz w:val="20"/>
              </w:rPr>
              <w:t>Answers cite trusted, current sources; users report time saved</w:t>
            </w:r>
          </w:p>
        </w:tc>
      </w:tr>
    </w:tbl>
    <w:p/>
    <w:p>
      <w:pPr>
        <w:pStyle w:val="Heading2"/>
      </w:pPr>
      <w:r>
        <w:rPr>
          <w:rFonts w:ascii="Calibri" w:hAnsi="Calibri" w:eastAsia="Calibri"/>
          <w:b/>
          <w:sz w:val="26"/>
        </w:rPr>
        <w:t>6. Governance and ownership</w:t>
      </w:r>
    </w:p>
    <w:p>
      <w:pPr>
        <w:spacing w:after="160" w:before="0"/>
      </w:pPr>
      <w:r>
        <w:rPr>
          <w:rFonts w:ascii="Calibri" w:hAnsi="Calibri" w:eastAsia="Calibri"/>
          <w:b w:val="0"/>
          <w:sz w:val="22"/>
        </w:rPr>
        <w:t>The capability is an operating discipline, not a project.</w:t>
      </w:r>
    </w:p>
    <w:p>
      <w:pPr>
        <w:pStyle w:val="ListBullet"/>
        <w:spacing w:after="60"/>
      </w:pPr>
      <w:r>
        <w:rPr>
          <w:rFonts w:ascii="Calibri" w:hAnsi="Calibri" w:eastAsia="Calibri"/>
          <w:b w:val="0"/>
          <w:sz w:val="22"/>
        </w:rPr>
        <w:t>Executive sponsor, planned to survive rotation.</w:t>
      </w:r>
    </w:p>
    <w:p>
      <w:pPr>
        <w:pStyle w:val="ListBullet"/>
        <w:spacing w:after="60"/>
      </w:pPr>
      <w:r>
        <w:rPr>
          <w:rFonts w:ascii="Calibri" w:hAnsi="Calibri" w:eastAsia="Calibri"/>
          <w:b w:val="0"/>
          <w:sz w:val="22"/>
        </w:rPr>
        <w:t>Knowledge owners for every item and knowledge area.</w:t>
      </w:r>
    </w:p>
    <w:p>
      <w:pPr>
        <w:pStyle w:val="ListBullet"/>
        <w:spacing w:after="60"/>
      </w:pPr>
      <w:r>
        <w:rPr>
          <w:rFonts w:ascii="Calibri" w:hAnsi="Calibri" w:eastAsia="Calibri"/>
          <w:b w:val="0"/>
          <w:sz w:val="22"/>
        </w:rPr>
        <w:t>Curator role(s) funded as standing operating cost, not project budget.</w:t>
      </w:r>
    </w:p>
    <w:p>
      <w:pPr>
        <w:pStyle w:val="ListBullet"/>
        <w:spacing w:after="60"/>
      </w:pPr>
      <w:r>
        <w:rPr>
          <w:rFonts w:ascii="Calibri" w:hAnsi="Calibri" w:eastAsia="Calibri"/>
          <w:b w:val="0"/>
          <w:sz w:val="22"/>
        </w:rPr>
        <w:t>Lifecycle: draft to checked to approved to outdated to archived.</w:t>
      </w:r>
    </w:p>
    <w:p>
      <w:pPr>
        <w:pStyle w:val="ListBullet"/>
        <w:spacing w:after="60"/>
      </w:pPr>
      <w:r>
        <w:rPr>
          <w:rFonts w:ascii="Calibri" w:hAnsi="Calibri" w:eastAsia="Calibri"/>
          <w:b w:val="0"/>
          <w:sz w:val="22"/>
        </w:rPr>
        <w:t>M6 needs, once agreed, become a versioned baseline. Horizon is when we would build, not the workbook fill-order stage.</w:t>
      </w:r>
    </w:p>
    <w:p>
      <w:pPr>
        <w:pStyle w:val="ListBullet"/>
        <w:spacing w:after="60"/>
      </w:pPr>
      <w:r>
        <w:rPr>
          <w:rFonts w:ascii="Calibri" w:hAnsi="Calibri" w:eastAsia="Calibri"/>
          <w:b w:val="0"/>
          <w:sz w:val="22"/>
        </w:rPr>
        <w:t>A just, learning-oriented culture: templates framed around systems and decisions, not blame.</w:t>
      </w:r>
    </w:p>
    <w:p>
      <w:pPr>
        <w:pStyle w:val="Heading2"/>
      </w:pPr>
      <w:r>
        <w:rPr>
          <w:rFonts w:ascii="Calibri" w:hAnsi="Calibri" w:eastAsia="Calibri"/>
          <w:b/>
          <w:sz w:val="26"/>
        </w:rPr>
        <w:t>7. Measuring success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sz w:val="20"/>
              </w:rPr>
              <w:t>Measure</w:t>
            </w:r>
          </w:p>
        </w:tc>
        <w:tc>
          <w:tcPr>
            <w:tcW w:type="dxa" w:w="3120"/>
          </w:tcPr>
          <w:p>
            <w:r/>
            <w:r>
              <w:rPr>
                <w:rFonts w:ascii="Calibri" w:hAnsi="Calibri" w:eastAsia="Calibri"/>
                <w:b/>
                <w:sz w:val="20"/>
              </w:rPr>
              <w:t>What it tells us</w:t>
            </w:r>
          </w:p>
        </w:tc>
        <w:tc>
          <w:tcPr>
            <w:tcW w:type="dxa" w:w="3120"/>
          </w:tcPr>
          <w:p>
            <w:r/>
            <w:r>
              <w:rPr>
                <w:rFonts w:ascii="Calibri" w:hAnsi="Calibri" w:eastAsia="Calibri"/>
                <w:b/>
                <w:sz w:val="20"/>
              </w:rPr>
              <w:t>Baseline source</w:t>
            </w:r>
          </w:p>
        </w:tc>
      </w:tr>
      <w:tr>
        <w:tc>
          <w:tcPr>
            <w:tcW w:type="dxa" w:w="3120"/>
          </w:tcPr>
          <w:p>
            <w:r/>
            <w:r>
              <w:rPr>
                <w:rFonts w:ascii="Calibri" w:hAnsi="Calibri" w:eastAsia="Calibri"/>
                <w:b w:val="0"/>
                <w:sz w:val="20"/>
              </w:rPr>
              <w:t>Findability</w:t>
            </w:r>
          </w:p>
        </w:tc>
        <w:tc>
          <w:tcPr>
            <w:tcW w:type="dxa" w:w="3120"/>
          </w:tcPr>
          <w:p>
            <w:r/>
            <w:r>
              <w:rPr>
                <w:rFonts w:ascii="Calibri" w:hAnsi="Calibri" w:eastAsia="Calibri"/>
                <w:b w:val="0"/>
                <w:sz w:val="20"/>
              </w:rPr>
              <w:t>Whether the managed home works</w:t>
            </w:r>
          </w:p>
        </w:tc>
        <w:tc>
          <w:tcPr>
            <w:tcW w:type="dxa" w:w="3120"/>
          </w:tcPr>
          <w:p>
            <w:r/>
            <w:r>
              <w:rPr>
                <w:rFonts w:ascii="Calibri" w:hAnsi="Calibri" w:eastAsia="Calibri"/>
                <w:b w:val="0"/>
                <w:sz w:val="20"/>
              </w:rPr>
              <w:t>M1 How easy to find</w:t>
            </w:r>
          </w:p>
        </w:tc>
      </w:tr>
      <w:tr>
        <w:tc>
          <w:tcPr>
            <w:tcW w:type="dxa" w:w="3120"/>
          </w:tcPr>
          <w:p>
            <w:r/>
            <w:r>
              <w:rPr>
                <w:rFonts w:ascii="Calibri" w:hAnsi="Calibri" w:eastAsia="Calibri"/>
                <w:b w:val="0"/>
                <w:sz w:val="20"/>
              </w:rPr>
              <w:t>Reuse</w:t>
            </w:r>
          </w:p>
        </w:tc>
        <w:tc>
          <w:tcPr>
            <w:tcW w:type="dxa" w:w="3120"/>
          </w:tcPr>
          <w:p>
            <w:r/>
            <w:r>
              <w:rPr>
                <w:rFonts w:ascii="Calibri" w:hAnsi="Calibri" w:eastAsia="Calibri"/>
                <w:b w:val="0"/>
                <w:sz w:val="20"/>
              </w:rPr>
              <w:t>Whether knowledge reaches decisions, and whether it is safe to reuse</w:t>
            </w:r>
          </w:p>
        </w:tc>
        <w:tc>
          <w:tcPr>
            <w:tcW w:type="dxa" w:w="3120"/>
          </w:tcPr>
          <w:p>
            <w:r/>
            <w:r>
              <w:rPr>
                <w:rFonts w:ascii="Calibri" w:hAnsi="Calibri" w:eastAsia="Calibri"/>
                <w:b w:val="0"/>
                <w:sz w:val="20"/>
              </w:rPr>
              <w:t>M3 What happens next; M1 Can we trust it to reuse?</w:t>
            </w:r>
          </w:p>
        </w:tc>
      </w:tr>
      <w:tr>
        <w:tc>
          <w:tcPr>
            <w:tcW w:type="dxa" w:w="3120"/>
          </w:tcPr>
          <w:p>
            <w:r/>
            <w:r>
              <w:rPr>
                <w:rFonts w:ascii="Calibri" w:hAnsi="Calibri" w:eastAsia="Calibri"/>
                <w:b w:val="0"/>
                <w:sz w:val="20"/>
              </w:rPr>
              <w:t>Closure rate</w:t>
            </w:r>
          </w:p>
        </w:tc>
        <w:tc>
          <w:tcPr>
            <w:tcW w:type="dxa" w:w="3120"/>
          </w:tcPr>
          <w:p>
            <w:r/>
            <w:r>
              <w:rPr>
                <w:rFonts w:ascii="Calibri" w:hAnsi="Calibri" w:eastAsia="Calibri"/>
                <w:b w:val="0"/>
                <w:sz w:val="20"/>
              </w:rPr>
              <w:t>Whether one of the four closures happened and was checked</w:t>
            </w:r>
          </w:p>
        </w:tc>
        <w:tc>
          <w:tcPr>
            <w:tcW w:type="dxa" w:w="3120"/>
          </w:tcPr>
          <w:p>
            <w:r/>
            <w:r>
              <w:rPr>
                <w:rFonts w:ascii="Calibri" w:hAnsi="Calibri" w:eastAsia="Calibri"/>
                <w:b w:val="0"/>
                <w:sz w:val="20"/>
              </w:rPr>
              <w:t>M3 Which closure; Is follow-up checked?</w:t>
            </w:r>
          </w:p>
        </w:tc>
      </w:tr>
      <w:tr>
        <w:tc>
          <w:tcPr>
            <w:tcW w:type="dxa" w:w="3120"/>
          </w:tcPr>
          <w:p>
            <w:r/>
            <w:r>
              <w:rPr>
                <w:rFonts w:ascii="Calibri" w:hAnsi="Calibri" w:eastAsia="Calibri"/>
                <w:b w:val="0"/>
                <w:sz w:val="20"/>
              </w:rPr>
              <w:t>Recurrence</w:t>
            </w:r>
          </w:p>
        </w:tc>
        <w:tc>
          <w:tcPr>
            <w:tcW w:type="dxa" w:w="3120"/>
          </w:tcPr>
          <w:p>
            <w:r/>
            <w:r>
              <w:rPr>
                <w:rFonts w:ascii="Calibri" w:hAnsi="Calibri" w:eastAsia="Calibri"/>
                <w:b w:val="0"/>
                <w:sz w:val="20"/>
              </w:rPr>
              <w:t>Whether learning is sticking</w:t>
            </w:r>
          </w:p>
        </w:tc>
        <w:tc>
          <w:tcPr>
            <w:tcW w:type="dxa" w:w="3120"/>
          </w:tcPr>
          <w:p>
            <w:r/>
            <w:r>
              <w:rPr>
                <w:rFonts w:ascii="Calibri" w:hAnsi="Calibri" w:eastAsia="Calibri"/>
                <w:b w:val="0"/>
                <w:sz w:val="20"/>
              </w:rPr>
              <w:t>M5 recurring pain points, tagged to the eight gaps</w:t>
            </w:r>
          </w:p>
        </w:tc>
      </w:tr>
      <w:tr>
        <w:tc>
          <w:tcPr>
            <w:tcW w:type="dxa" w:w="3120"/>
          </w:tcPr>
          <w:p>
            <w:r/>
            <w:r>
              <w:rPr>
                <w:rFonts w:ascii="Calibri" w:hAnsi="Calibri" w:eastAsia="Calibri"/>
                <w:b w:val="0"/>
                <w:sz w:val="20"/>
              </w:rPr>
              <w:t>Know-how coverage</w:t>
            </w:r>
          </w:p>
        </w:tc>
        <w:tc>
          <w:tcPr>
            <w:tcW w:type="dxa" w:w="3120"/>
          </w:tcPr>
          <w:p>
            <w:r/>
            <w:r>
              <w:rPr>
                <w:rFonts w:ascii="Calibri" w:hAnsi="Calibri" w:eastAsia="Calibri"/>
                <w:b w:val="0"/>
                <w:sz w:val="20"/>
              </w:rPr>
              <w:t>Whether the people programme is ahead of attrition</w:t>
            </w:r>
          </w:p>
        </w:tc>
        <w:tc>
          <w:tcPr>
            <w:tcW w:type="dxa" w:w="3120"/>
          </w:tcPr>
          <w:p>
            <w:r/>
            <w:r>
              <w:rPr>
                <w:rFonts w:ascii="Calibri" w:hAnsi="Calibri" w:eastAsia="Calibri"/>
                <w:b w:val="0"/>
                <w:sz w:val="20"/>
              </w:rPr>
              <w:t>M4 (how big / why / when) and Coverage</w:t>
            </w:r>
          </w:p>
        </w:tc>
      </w:tr>
      <w:tr>
        <w:tc>
          <w:tcPr>
            <w:tcW w:type="dxa" w:w="3120"/>
          </w:tcPr>
          <w:p>
            <w:r/>
            <w:r>
              <w:rPr>
                <w:rFonts w:ascii="Calibri" w:hAnsi="Calibri" w:eastAsia="Calibri"/>
                <w:b w:val="0"/>
                <w:sz w:val="20"/>
              </w:rPr>
              <w:t>Content health</w:t>
            </w:r>
          </w:p>
        </w:tc>
        <w:tc>
          <w:tcPr>
            <w:tcW w:type="dxa" w:w="3120"/>
          </w:tcPr>
          <w:p>
            <w:r/>
            <w:r>
              <w:rPr>
                <w:rFonts w:ascii="Calibri" w:hAnsi="Calibri" w:eastAsia="Calibri"/>
                <w:b w:val="0"/>
                <w:sz w:val="20"/>
              </w:rPr>
              <w:t>Whether governance is holding</w:t>
            </w:r>
          </w:p>
        </w:tc>
        <w:tc>
          <w:tcPr>
            <w:tcW w:type="dxa" w:w="3120"/>
          </w:tcPr>
          <w:p>
            <w:r/>
            <w:r>
              <w:rPr>
                <w:rFonts w:ascii="Calibri" w:hAnsi="Calibri" w:eastAsia="Calibri"/>
                <w:b w:val="0"/>
                <w:sz w:val="20"/>
              </w:rPr>
              <w:t>Content-health reviews</w:t>
            </w:r>
          </w:p>
        </w:tc>
      </w:tr>
    </w:tbl>
    <w:p/>
    <w:p>
      <w:pPr>
        <w:pStyle w:val="Heading2"/>
      </w:pPr>
      <w:r>
        <w:rPr>
          <w:rFonts w:ascii="Calibri" w:hAnsi="Calibri" w:eastAsia="Calibri"/>
          <w:b/>
          <w:sz w:val="26"/>
        </w:rPr>
        <w:t>8. Risks and how this approach handles them</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sz w:val="20"/>
              </w:rPr>
              <w:t>Risk</w:t>
            </w:r>
          </w:p>
        </w:tc>
        <w:tc>
          <w:tcPr>
            <w:tcW w:type="dxa" w:w="4680"/>
          </w:tcPr>
          <w:p>
            <w:r/>
            <w:r>
              <w:rPr>
                <w:rFonts w:ascii="Calibri" w:hAnsi="Calibri" w:eastAsia="Calibri"/>
                <w:b/>
                <w:sz w:val="20"/>
              </w:rPr>
              <w:t>How discovery-first handles it</w:t>
            </w:r>
          </w:p>
        </w:tc>
      </w:tr>
      <w:tr>
        <w:tc>
          <w:tcPr>
            <w:tcW w:type="dxa" w:w="4680"/>
          </w:tcPr>
          <w:p>
            <w:r/>
            <w:r>
              <w:rPr>
                <w:rFonts w:ascii="Calibri" w:hAnsi="Calibri" w:eastAsia="Calibri"/>
                <w:b w:val="0"/>
                <w:sz w:val="20"/>
              </w:rPr>
              <w:t>A repository nobody uses</w:t>
            </w:r>
          </w:p>
        </w:tc>
        <w:tc>
          <w:tcPr>
            <w:tcW w:type="dxa" w:w="4680"/>
          </w:tcPr>
          <w:p>
            <w:r/>
            <w:r>
              <w:rPr>
                <w:rFonts w:ascii="Calibri" w:hAnsi="Calibri" w:eastAsia="Calibri"/>
                <w:b w:val="0"/>
                <w:sz w:val="20"/>
              </w:rPr>
              <w:t>Design is grounded in M3 usage data and M5 pain points people themselves raised</w:t>
            </w:r>
          </w:p>
        </w:tc>
      </w:tr>
      <w:tr>
        <w:tc>
          <w:tcPr>
            <w:tcW w:type="dxa" w:w="4680"/>
          </w:tcPr>
          <w:p>
            <w:r/>
            <w:r>
              <w:rPr>
                <w:rFonts w:ascii="Calibri" w:hAnsi="Calibri" w:eastAsia="Calibri"/>
                <w:b w:val="0"/>
                <w:sz w:val="20"/>
              </w:rPr>
              <w:t>Overwhelming the business</w:t>
            </w:r>
          </w:p>
        </w:tc>
        <w:tc>
          <w:tcPr>
            <w:tcW w:type="dxa" w:w="4680"/>
          </w:tcPr>
          <w:p>
            <w:r/>
            <w:r>
              <w:rPr>
                <w:rFonts w:ascii="Calibri" w:hAnsi="Calibri" w:eastAsia="Calibri"/>
                <w:b w:val="0"/>
                <w:sz w:val="20"/>
              </w:rPr>
              <w:t>Coverage plus six small modules, run in fill-order stages</w:t>
            </w:r>
          </w:p>
        </w:tc>
      </w:tr>
      <w:tr>
        <w:tc>
          <w:tcPr>
            <w:tcW w:type="dxa" w:w="4680"/>
          </w:tcPr>
          <w:p>
            <w:r/>
            <w:r>
              <w:rPr>
                <w:rFonts w:ascii="Calibri" w:hAnsi="Calibri" w:eastAsia="Calibri"/>
                <w:b w:val="0"/>
                <w:sz w:val="20"/>
              </w:rPr>
              <w:t>Tool-first procurement</w:t>
            </w:r>
          </w:p>
        </w:tc>
        <w:tc>
          <w:tcPr>
            <w:tcW w:type="dxa" w:w="4680"/>
          </w:tcPr>
          <w:p>
            <w:r/>
            <w:r>
              <w:rPr>
                <w:rFonts w:ascii="Calibri" w:hAnsi="Calibri" w:eastAsia="Calibri"/>
                <w:b w:val="0"/>
                <w:sz w:val="20"/>
              </w:rPr>
              <w:t>M6 outcomes and Horizon are agreed before any tool discussion</w:t>
            </w:r>
          </w:p>
        </w:tc>
      </w:tr>
      <w:tr>
        <w:tc>
          <w:tcPr>
            <w:tcW w:type="dxa" w:w="4680"/>
          </w:tcPr>
          <w:p>
            <w:r/>
            <w:r>
              <w:rPr>
                <w:rFonts w:ascii="Calibri" w:hAnsi="Calibri" w:eastAsia="Calibri"/>
                <w:b w:val="0"/>
                <w:sz w:val="20"/>
              </w:rPr>
              <w:t>Knowledge loss during the programme</w:t>
            </w:r>
          </w:p>
        </w:tc>
        <w:tc>
          <w:tcPr>
            <w:tcW w:type="dxa" w:w="4680"/>
          </w:tcPr>
          <w:p>
            <w:r/>
            <w:r>
              <w:rPr>
                <w:rFonts w:ascii="Calibri" w:hAnsi="Calibri" w:eastAsia="Calibri"/>
                <w:b w:val="0"/>
                <w:sz w:val="20"/>
              </w:rPr>
              <w:t>M4 identifies at-risk holders first (how big, why, when)</w:t>
            </w:r>
          </w:p>
        </w:tc>
      </w:tr>
      <w:tr>
        <w:tc>
          <w:tcPr>
            <w:tcW w:type="dxa" w:w="4680"/>
          </w:tcPr>
          <w:p>
            <w:r/>
            <w:r>
              <w:rPr>
                <w:rFonts w:ascii="Calibri" w:hAnsi="Calibri" w:eastAsia="Calibri"/>
                <w:b w:val="0"/>
                <w:sz w:val="20"/>
              </w:rPr>
              <w:t>Decay after launch</w:t>
            </w:r>
          </w:p>
        </w:tc>
        <w:tc>
          <w:tcPr>
            <w:tcW w:type="dxa" w:w="4680"/>
          </w:tcPr>
          <w:p>
            <w:r/>
            <w:r>
              <w:rPr>
                <w:rFonts w:ascii="Calibri" w:hAnsi="Calibri" w:eastAsia="Calibri"/>
                <w:b w:val="0"/>
                <w:sz w:val="20"/>
              </w:rPr>
              <w:t>Funded owner and curator roles, routines, and outcome measures are part of the design</w:t>
            </w:r>
          </w:p>
        </w:tc>
      </w:tr>
      <w:tr>
        <w:tc>
          <w:tcPr>
            <w:tcW w:type="dxa" w:w="4680"/>
          </w:tcPr>
          <w:p>
            <w:r/>
            <w:r>
              <w:rPr>
                <w:rFonts w:ascii="Calibri" w:hAnsi="Calibri" w:eastAsia="Calibri"/>
                <w:b w:val="0"/>
                <w:sz w:val="20"/>
              </w:rPr>
              <w:t>Templates that feel like blame</w:t>
            </w:r>
          </w:p>
        </w:tc>
        <w:tc>
          <w:tcPr>
            <w:tcW w:type="dxa" w:w="4680"/>
          </w:tcPr>
          <w:p>
            <w:r/>
            <w:r>
              <w:rPr>
                <w:rFonts w:ascii="Calibri" w:hAnsi="Calibri" w:eastAsia="Calibri"/>
                <w:b w:val="0"/>
                <w:sz w:val="20"/>
              </w:rPr>
              <w:t>Capture formats are system-framed, with accountability preserved for conduct</w:t>
            </w:r>
          </w:p>
        </w:tc>
      </w:tr>
    </w:tbl>
    <w:p/>
    <w:p>
      <w:pPr>
        <w:pStyle w:val="Heading2"/>
      </w:pPr>
      <w:r>
        <w:rPr>
          <w:rFonts w:ascii="Calibri" w:hAnsi="Calibri" w:eastAsia="Calibri"/>
          <w:b/>
          <w:sz w:val="26"/>
        </w:rPr>
        <w:t>9. The road beyond: AI enablement</w:t>
      </w:r>
    </w:p>
    <w:p>
      <w:pPr>
        <w:spacing w:after="160" w:before="0"/>
      </w:pPr>
      <w:r>
        <w:rPr>
          <w:rFonts w:ascii="Calibri" w:hAnsi="Calibri" w:eastAsia="Calibri"/>
          <w:b w:val="0"/>
          <w:sz w:val="22"/>
        </w:rPr>
        <w:t>AI-based assistance is a later phase, not a starting point. AI amplifies whatever state the knowledge base is in. Pointed at scattered, outdated, unlabeled content, it retrieves confidently wrong answers at scale. Pointed at a curated, labeled, current corpus, it becomes useful.</w:t>
      </w:r>
    </w:p>
    <w:p>
      <w:pPr>
        <w:spacing w:after="160" w:before="0"/>
      </w:pPr>
      <w:r>
        <w:rPr>
          <w:rFonts w:ascii="Calibri" w:hAnsi="Calibri" w:eastAsia="Calibri"/>
          <w:b w:val="0"/>
          <w:sz w:val="22"/>
        </w:rPr>
        <w:t>The discovery and build work is also the AI-readiness work: M1 tells the AI what exists and what is safe to reuse, the templates give it structured context, the trust labels tell it what it may rely on, and governance keeps the corpus current. When AI is introduced it must cite sources, refuse when evidence is weak, and defer to human approval for anything that changes a plan, a standard, or a public commitment.</w:t>
      </w:r>
    </w:p>
    <w:p>
      <w:pPr>
        <w:spacing w:after="160" w:before="0"/>
      </w:pPr>
      <w:r>
        <w:rPr>
          <w:rFonts w:ascii="Calibri" w:hAnsi="Calibri" w:eastAsia="Calibri"/>
          <w:b w:val="0"/>
          <w:sz w:val="20"/>
        </w:rPr>
        <w:t>Enterprise Knowledge Management Programme  |  August 2026</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