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faca12a8b98fe45cdb7891f6f4ef0162ea217a"/>
    <w:p>
      <w:pPr>
        <w:pStyle w:val="Heading1"/>
      </w:pPr>
      <w:r>
        <w:t xml:space="preserve">Independent Research Comparison: Net-New Areas and Ideas</w:t>
      </w:r>
    </w:p>
    <w:bookmarkStart w:id="20" w:name="Xb67e0ae43a8ea17dd3face65fab46156e101e6c"/>
    <w:p>
      <w:pPr>
        <w:pStyle w:val="Heading2"/>
      </w:pPr>
      <w:r>
        <w:t xml:space="preserve">Review of three external deep-research outputs against</w:t>
      </w:r>
      <w:r>
        <w:t xml:space="preserve"> </w:t>
      </w:r>
      <w:r>
        <w:t xml:space="preserve">“</w:t>
      </w:r>
      <w:r>
        <w:t xml:space="preserve">From Variance Reports to Institutional Learning</w:t>
      </w:r>
      <w:r>
        <w:t xml:space="preserve">”</w:t>
      </w:r>
      <w:r>
        <w:t xml:space="preserve"> </w:t>
      </w:r>
      <w:r>
        <w:t xml:space="preserve">(VCO_CI_KM_Analysis)</w:t>
      </w:r>
    </w:p>
    <w:p>
      <w:pPr>
        <w:pStyle w:val="FirstParagraph"/>
      </w:pPr>
      <w:r>
        <w:rPr>
          <w:bCs/>
          <w:b/>
        </w:rPr>
        <w:t xml:space="preserve">Prepared:</w:t>
      </w:r>
      <w:r>
        <w:t xml:space="preserve"> </w:t>
      </w:r>
      <w:r>
        <w:t xml:space="preserve">18 July 2026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Identify material in the three external research outputs that is genuinely additive to our report — no duplication of existing coverage — and assess its quality before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what-was-compared-and-how"/>
    <w:p>
      <w:pPr>
        <w:pStyle w:val="Heading2"/>
      </w:pPr>
      <w:r>
        <w:t xml:space="preserve">1. What was compared and how</w:t>
      </w:r>
    </w:p>
    <w:p>
      <w:pPr>
        <w:pStyle w:val="FirstParagraph"/>
      </w:pPr>
      <w:r>
        <w:t xml:space="preserve">The three external documents were read in full and checked, claim by claim, against the eight chapters and twelve research-dimension files behind our report: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Building a CI-Focused Knowledge Management Foundation for Downstream Value Chain Optimization: Problem-Space Analysis</w:t>
      </w:r>
      <w:r>
        <w:rPr>
          <w:iCs/>
          <w:i/>
        </w:rPr>
        <w:t xml:space="preserve">”</w:t>
      </w:r>
      <w:r>
        <w:t xml:space="preserve"> </w:t>
      </w:r>
      <w:r>
        <w:t xml:space="preserve">(structured analysis with TL;DR, recommendations, and caveats; strongest of the three).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B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Downstream VCO, Lookback, and Contextual Knowledge in Refining and Marketing</w:t>
      </w:r>
      <w:r>
        <w:rPr>
          <w:iCs/>
          <w:i/>
        </w:rPr>
        <w:t xml:space="preserve">”</w:t>
      </w:r>
      <w:r>
        <w:t xml:space="preserve"> </w:t>
      </w:r>
      <w:r>
        <w:t xml:space="preserve">(narrative synthesis; citations are opaque machine tokens — see the evidence caveat in §4).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C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Downstream Value Chain and VCO…</w:t>
      </w:r>
      <w:r>
        <w:rPr>
          <w:iCs/>
          <w:i/>
        </w:rPr>
        <w:t xml:space="preserve">”</w:t>
      </w:r>
      <w:r>
        <w:t xml:space="preserve"> </w:t>
      </w:r>
      <w:r>
        <w:t xml:space="preserve">(six-section narrative mirroring the brief; thinnest on evidence).</w:t>
      </w:r>
    </w:p>
    <w:p>
      <w:pPr>
        <w:pStyle w:val="FirstParagraph"/>
      </w:pPr>
      <w:r>
        <w:rPr>
          <w:bCs/>
          <w:b/>
        </w:rPr>
        <w:t xml:space="preserve">Overall verdict:</w:t>
      </w:r>
      <w:r>
        <w:t xml:space="preserve"> </w:t>
      </w:r>
      <w:r>
        <w:t xml:space="preserve">the three documents independently converge on our report’s central architecture — the same gap categories, the same CI-first KM framing, the same capture–contextualize–govern–reuse requirement set. That convergence is itself a useful validation signal. Roughly 85% of their content duplicates what our report already covers, usually at lower evidential depth. The remaining ~15% contains eleven genuinely net-new contributions, listed below in order of value, each with a recommended insertion point in the report.</w:t>
      </w:r>
    </w:p>
    <w:p>
      <w:r>
        <w:pict>
          <v:rect style="width:0;height:1.5pt" o:hralign="center" o:hrstd="t" o:hr="t"/>
        </w:pict>
      </w:r>
    </w:p>
    <w:bookmarkEnd w:id="21"/>
    <w:bookmarkStart w:id="33" w:name="Xb60686e786ebae82eceb9431e907636d6505d3a"/>
    <w:p>
      <w:pPr>
        <w:pStyle w:val="Heading2"/>
      </w:pPr>
      <w:r>
        <w:t xml:space="preserve">2. Net-new areas and ideas (not in our report)</w:t>
      </w:r>
    </w:p>
    <w:bookmarkStart w:id="22" w:name="X14394c5ef1e49e7133da500c8d70aec25e594c9"/>
    <w:p>
      <w:pPr>
        <w:pStyle w:val="Heading3"/>
      </w:pPr>
      <w:r>
        <w:t xml:space="preserve">N1. The two distinct meanings of</w:t>
      </w:r>
      <w:r>
        <w:t xml:space="preserve"> </w:t>
      </w:r>
      <w:r>
        <w:t xml:space="preserve">“</w:t>
      </w:r>
      <w:r>
        <w:t xml:space="preserve">backcasting</w:t>
      </w:r>
      <w:r>
        <w:t xml:space="preserve">”</w:t>
      </w:r>
      <w:r>
        <w:t xml:space="preserve"> </w:t>
      </w:r>
      <w:r>
        <w:t xml:space="preserve">— made explicit</w:t>
      </w:r>
      <w:r>
        <w:t xml:space="preserve"> </w:t>
      </w:r>
      <w:r>
        <w:rPr>
          <w:iCs/>
          <w:i/>
        </w:rPr>
        <w:t xml:space="preserve">(highest value)</w:t>
      </w:r>
    </w:p>
    <w:p>
      <w:pPr>
        <w:pStyle w:val="FirstParagraph"/>
      </w:pPr>
      <w:r>
        <w:t xml:space="preserve">Document A draws a sharp distinction our report only implies: in refining,</w:t>
      </w:r>
      <w:r>
        <w:t xml:space="preserve"> </w:t>
      </w:r>
      <w:r>
        <w:t xml:space="preserve">“</w:t>
      </w:r>
      <w:r>
        <w:t xml:space="preserve">backcasting</w:t>
      </w:r>
      <w:r>
        <w:t xml:space="preserve">”</w:t>
      </w:r>
      <w:r>
        <w:t xml:space="preserve"> </w:t>
      </w:r>
      <w:r>
        <w:t xml:space="preserve">is used in</w:t>
      </w:r>
      <w:r>
        <w:t xml:space="preserve"> </w:t>
      </w:r>
      <w:r>
        <w:rPr>
          <w:bCs/>
          <w:b/>
        </w:rPr>
        <w:t xml:space="preserve">two different senses</w:t>
      </w:r>
      <w:r>
        <w:t xml:space="preserve"> </w:t>
      </w:r>
      <w:r>
        <w:t xml:space="preserve">— (a) the</w:t>
      </w:r>
      <w:r>
        <w:t xml:space="preserve"> </w:t>
      </w:r>
      <w:r>
        <w:rPr>
          <w:iCs/>
          <w:i/>
        </w:rPr>
        <w:t xml:space="preserve">strategic</w:t>
      </w:r>
      <w:r>
        <w:t xml:space="preserve"> </w:t>
      </w:r>
      <w:r>
        <w:t xml:space="preserve">futures method (Robinson, 1982: working back from a desired end-state 25–50 years out), and (b) the</w:t>
      </w:r>
      <w:r>
        <w:t xml:space="preserve"> </w:t>
      </w:r>
      <w:r>
        <w:rPr>
          <w:iCs/>
          <w:i/>
        </w:rPr>
        <w:t xml:space="preserve">operational</w:t>
      </w:r>
      <w:r>
        <w:t xml:space="preserve"> </w:t>
      </w:r>
      <w:r>
        <w:t xml:space="preserve">sense of comparing actual performance against the</w:t>
      </w:r>
      <w:r>
        <w:t xml:space="preserve"> </w:t>
      </w:r>
      <w:r>
        <w:rPr>
          <w:bCs/>
          <w:b/>
        </w:rPr>
        <w:t xml:space="preserve">best-possible performance achievable under the same realized conditions</w:t>
      </w:r>
      <w:r>
        <w:t xml:space="preserve">, using the LP model to compute the counterfactual optimum. Document A’s key critical point, attributed to McKinsey, is that most refiners practice only</w:t>
      </w:r>
      <w:r>
        <w:t xml:space="preserve"> </w:t>
      </w:r>
      <w:r>
        <w:rPr>
          <w:bCs/>
          <w:b/>
        </w:rPr>
        <w:t xml:space="preserve">margin-variance analysis</w:t>
      </w:r>
      <w:r>
        <w:t xml:space="preserve"> </w:t>
      </w:r>
      <w:r>
        <w:t xml:space="preserve">(actual vs. plan) and mistake it for backcasting — so recurring value leakage against the achievable optimum is never surfaced. Our report documents Aramco’s monthly LP-gap</w:t>
      </w:r>
      <w:r>
        <w:t xml:space="preserve"> </w:t>
      </w:r>
      <w:r>
        <w:t xml:space="preserve">“</w:t>
      </w:r>
      <w:r>
        <w:t xml:space="preserve">back-casting</w:t>
      </w:r>
      <w:r>
        <w:t xml:space="preserve">”</w:t>
      </w:r>
      <w:r>
        <w:t xml:space="preserve"> </w:t>
      </w:r>
      <w:r>
        <w:t xml:space="preserve">and forensic LP backcasts, but never states the two-senses distinction or its consequence:</w:t>
      </w:r>
      <w:r>
        <w:t xml:space="preserve"> </w:t>
      </w:r>
      <w:r>
        <w:rPr>
          <w:bCs/>
          <w:b/>
        </w:rPr>
        <w:t xml:space="preserve">COMPANY’s KM framework must accommodate both senses without conflating them</w:t>
      </w:r>
      <w:r>
        <w:t xml:space="preserve"> </w:t>
      </w:r>
      <w:r>
        <w:t xml:space="preserve">— they produce different knowledge artifacts (pathway assumptions vs. counterfactual gap analyses) with different context fields and owners.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§2.4 (new H4 on the two senses) and §3.8; one clarifying sentence in Chapter 4 and in the Chapter 5 taxonomy dimension (D3).</w:t>
      </w:r>
    </w:p>
    <w:bookmarkEnd w:id="22"/>
    <w:bookmarkStart w:id="23" w:name="X26dcd675ce9dd53595fafd3cacadcbd987b661a"/>
    <w:p>
      <w:pPr>
        <w:pStyle w:val="Heading3"/>
      </w:pPr>
      <w:r>
        <w:t xml:space="preserve">N2. The decision-science / cognitive-bias layer</w:t>
      </w:r>
    </w:p>
    <w:p>
      <w:pPr>
        <w:pStyle w:val="FirstParagraph"/>
      </w:pPr>
      <w:r>
        <w:t xml:space="preserve">None of our eight gaps covers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uncontextualized lookbacks are actively misleading, not merely incomplete. Document A supplies the missing literature:</w:t>
      </w:r>
      <w:r>
        <w:t xml:space="preserve"> </w:t>
      </w:r>
      <w:r>
        <w:rPr>
          <w:bCs/>
          <w:b/>
        </w:rPr>
        <w:t xml:space="preserve">hindsight bias and outcome bias</w:t>
      </w:r>
      <w:r>
        <w:t xml:space="preserve"> </w:t>
      </w:r>
      <w:r>
        <w:t xml:space="preserve">(memory of what we believed is</w:t>
      </w:r>
      <w:r>
        <w:t xml:space="preserve"> </w:t>
      </w:r>
      <w:r>
        <w:t xml:space="preserve">“</w:t>
      </w:r>
      <w:r>
        <w:t xml:space="preserve">overwritten by knowledge of what happened,</w:t>
      </w:r>
      <w:r>
        <w:t xml:space="preserve">”</w:t>
      </w:r>
      <w:r>
        <w:t xml:space="preserve"> </w:t>
      </w:r>
      <w:r>
        <w:t xml:space="preserve">so retrospectives without contemporaneous records grade decisions by outcome, not decision quality);</w:t>
      </w:r>
      <w:r>
        <w:t xml:space="preserve"> </w:t>
      </w:r>
      <w:r>
        <w:rPr>
          <w:bCs/>
          <w:b/>
        </w:rPr>
        <w:t xml:space="preserve">overconfidence and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winner’s curse</w:t>
      </w:r>
      <w:r>
        <w:rPr>
          <w:bCs/>
          <w:b/>
        </w:rPr>
        <w:t xml:space="preserve">”</w:t>
      </w:r>
      <w:r>
        <w:t xml:space="preserve"> </w:t>
      </w:r>
      <w:r>
        <w:t xml:space="preserve">in petroleum estimates (Capen, Clapp &amp; Campbell, 1971); and two quantified upstream findings — McVay &amp; Dossary (SPE, 2014): expected disappointment of</w:t>
      </w:r>
      <w:r>
        <w:t xml:space="preserve"> </w:t>
      </w:r>
      <w:r>
        <w:rPr>
          <w:bCs/>
          <w:b/>
        </w:rPr>
        <w:t xml:space="preserve">30–35% of estimated NPV</w:t>
      </w:r>
      <w:r>
        <w:t xml:space="preserve"> </w:t>
      </w:r>
      <w:r>
        <w:t xml:space="preserve">from overconfidence and optimism; Nandurdikar (JPT, 2014): the average E&amp;P development delivered only</w:t>
      </w:r>
      <w:r>
        <w:t xml:space="preserve"> </w:t>
      </w:r>
      <w:r>
        <w:rPr>
          <w:bCs/>
          <w:b/>
        </w:rPr>
        <w:t xml:space="preserve">~60% of the value promised at sanction</w:t>
      </w:r>
      <w:r>
        <w:t xml:space="preserve">. The actionable corollary is new as well:</w:t>
      </w:r>
      <w:r>
        <w:t xml:space="preserve"> </w:t>
      </w:r>
      <w:r>
        <w:rPr>
          <w:bCs/>
          <w:b/>
        </w:rPr>
        <w:t xml:space="preserve">contemporaneous capture at the time of decision</w:t>
      </w:r>
      <w:r>
        <w:t xml:space="preserve"> </w:t>
      </w:r>
      <w:r>
        <w:t xml:space="preserve">is the only reliable antidote to hindsight bias — which converts our Insight 5 (versioned ex-ante assumptions) from an analytical convenience into a bias-control mechanism.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Gap 4/Gap 6 in Chapter 3 (new H4 or a substantial paragraph), with the honest caveat (which Document A itself flags) that the quantified figures originate in</w:t>
      </w:r>
      <w:r>
        <w:t xml:space="preserve"> </w:t>
      </w:r>
      <w:r>
        <w:rPr>
          <w:iCs/>
          <w:i/>
        </w:rPr>
        <w:t xml:space="preserve">upstream</w:t>
      </w:r>
      <w:r>
        <w:t xml:space="preserve"> </w:t>
      </w:r>
      <w:r>
        <w:t xml:space="preserve">studies and generalize by mechanism, not by direct downstream measurement.</w:t>
      </w:r>
    </w:p>
    <w:bookmarkEnd w:id="23"/>
    <w:bookmarkStart w:id="24" w:name="X8e9a10c14d25e0d360d8beb549f7754c530665d"/>
    <w:p>
      <w:pPr>
        <w:pStyle w:val="Heading3"/>
      </w:pPr>
      <w:r>
        <w:t xml:space="preserve">N3. Refinery operating-strategy archetypes: focused vs. flexible</w:t>
      </w:r>
    </w:p>
    <w:p>
      <w:pPr>
        <w:pStyle w:val="FirstParagraph"/>
      </w:pPr>
      <w:r>
        <w:t xml:space="preserve">Document A introduces a McKinsey distinction absent from our Chapter 1:</w:t>
      </w:r>
      <w:r>
        <w:t xml:space="preserve"> </w:t>
      </w:r>
      <w:r>
        <w:rPr>
          <w:bCs/>
          <w:b/>
        </w:rPr>
        <w:t xml:space="preserve">focused refiners</w:t>
      </w:r>
      <w:r>
        <w:t xml:space="preserve"> </w:t>
      </w:r>
      <w:r>
        <w:t xml:space="preserve">(few crude grades, stable operation, long-term offtake) optimize for ratable supply, while</w:t>
      </w:r>
      <w:r>
        <w:t xml:space="preserve"> </w:t>
      </w:r>
      <w:r>
        <w:rPr>
          <w:bCs/>
          <w:b/>
        </w:rPr>
        <w:t xml:space="preserve">flexible refiners</w:t>
      </w:r>
      <w:r>
        <w:t xml:space="preserve"> </w:t>
      </w:r>
      <w:r>
        <w:t xml:space="preserve">swing yields and chase arbitrage — and the right VCO (and therefore lookback) design must match the operating strategy. This adds a</w:t>
      </w:r>
      <w:r>
        <w:t xml:space="preserve"> </w:t>
      </w:r>
      <w:r>
        <w:t xml:space="preserve">“</w:t>
      </w:r>
      <w:r>
        <w:t xml:space="preserve">no single best practice</w:t>
      </w:r>
      <w:r>
        <w:t xml:space="preserve">”</w:t>
      </w:r>
      <w:r>
        <w:t xml:space="preserve"> </w:t>
      </w:r>
      <w:r>
        <w:t xml:space="preserve">nuance our report lacks, and it matters for Chapter 5: taxonomy and lookback templates should be archetype-aware.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§1.2 or §1.3 of Chapter 1; one line in Chapter 5 (D3).</w:t>
      </w:r>
    </w:p>
    <w:bookmarkEnd w:id="24"/>
    <w:bookmarkStart w:id="25" w:name="Xeff02fa78d194cecab289cf5f4e91ee375d7f26"/>
    <w:p>
      <w:pPr>
        <w:pStyle w:val="Heading3"/>
      </w:pPr>
      <w:r>
        <w:t xml:space="preserve">N4. The transfer-pricing distortion example</w:t>
      </w:r>
    </w:p>
    <w:p>
      <w:pPr>
        <w:pStyle w:val="FirstParagraph"/>
      </w:pPr>
      <w:r>
        <w:t xml:space="preserve">Document A gives a concrete, quotable mechanism for our Gap 5 (KPI misalignment): transfer pricing between refining and marketing can induce a refinery to produce</w:t>
      </w:r>
      <w:r>
        <w:t xml:space="preserve"> </w:t>
      </w:r>
      <w:r>
        <w:rPr>
          <w:bCs/>
          <w:b/>
        </w:rPr>
        <w:t xml:space="preserve">less gasoline than is optimal for the marketing business</w:t>
      </w:r>
      <w:r>
        <w:t xml:space="preserve">, forcing marketing into the spot market at higher cost — a whole-company loss created by an internal price. This is a cleaner illustrative example than our current refinery-push/depot-pull framing.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§3.5 (Gap 5) as a second worked example.</w:t>
      </w:r>
    </w:p>
    <w:bookmarkEnd w:id="25"/>
    <w:bookmarkStart w:id="26" w:name="n5.-the-processes-around-the-lp-gap"/>
    <w:p>
      <w:pPr>
        <w:pStyle w:val="Heading3"/>
      </w:pPr>
      <w:r>
        <w:t xml:space="preserve">N5. The</w:t>
      </w:r>
      <w:r>
        <w:t xml:space="preserve"> </w:t>
      </w:r>
      <w:r>
        <w:t xml:space="preserve">“</w:t>
      </w:r>
      <w:r>
        <w:t xml:space="preserve">processes around the LP</w:t>
      </w:r>
      <w:r>
        <w:t xml:space="preserve">”</w:t>
      </w:r>
      <w:r>
        <w:t xml:space="preserve"> </w:t>
      </w:r>
      <w:r>
        <w:t xml:space="preserve">gap</w:t>
      </w:r>
    </w:p>
    <w:p>
      <w:pPr>
        <w:pStyle w:val="FirstParagraph"/>
      </w:pPr>
      <w:r>
        <w:t xml:space="preserve">Our Gap 3 documents stale LP</w:t>
      </w:r>
      <w:r>
        <w:t xml:space="preserve"> </w:t>
      </w:r>
      <w:r>
        <w:rPr>
          <w:iCs/>
          <w:i/>
        </w:rPr>
        <w:t xml:space="preserve">models</w:t>
      </w:r>
      <w:r>
        <w:t xml:space="preserve">; Document A adds that refiners</w:t>
      </w:r>
      <w:r>
        <w:t xml:space="preserve"> </w:t>
      </w:r>
      <w:r>
        <w:t xml:space="preserve">“</w:t>
      </w:r>
      <w:r>
        <w:t xml:space="preserve">regularly upgrade planning LP models</w:t>
      </w:r>
      <w:r>
        <w:t xml:space="preserve">”</w:t>
      </w:r>
      <w:r>
        <w:t xml:space="preserve"> </w:t>
      </w:r>
      <w:r>
        <w:t xml:space="preserve">while the</w:t>
      </w:r>
      <w:r>
        <w:t xml:space="preserve"> </w:t>
      </w:r>
      <w:r>
        <w:rPr>
          <w:bCs/>
          <w:b/>
        </w:rPr>
        <w:t xml:space="preserve">processes around them</w:t>
      </w:r>
      <w:r>
        <w:t xml:space="preserve"> </w:t>
      </w:r>
      <w:r>
        <w:t xml:space="preserve">— price forecasting, commercial constraint review,</w:t>
      </w:r>
      <w:r>
        <w:t xml:space="preserve"> </w:t>
      </w:r>
      <w:r>
        <w:rPr>
          <w:bCs/>
          <w:b/>
        </w:rPr>
        <w:t xml:space="preserve">monthly crude ranking, and relative crude value (RCV)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are rarely reviewed and can be a source of value leakage.</w:t>
      </w:r>
      <w:r>
        <w:t xml:space="preserve">”</w:t>
      </w:r>
      <w:r>
        <w:t xml:space="preserve"> </w:t>
      </w:r>
      <w:r>
        <w:t xml:space="preserve">This is a meaningfully different failure locus: not the model artifact, but the standing commercial routines feeding it. It sharpens the requirement for lookback findings to review</w:t>
      </w:r>
      <w:r>
        <w:t xml:space="preserve"> </w:t>
      </w:r>
      <w:r>
        <w:rPr>
          <w:iCs/>
          <w:i/>
        </w:rPr>
        <w:t xml:space="preserve">decision processes</w:t>
      </w:r>
      <w:r>
        <w:t xml:space="preserve">, not just model parameters.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§3.3 (Gap 3) and the Chapter 5 governance dimension (D5 refresh triggers should cover planning</w:t>
      </w:r>
      <w:r>
        <w:t xml:space="preserve"> </w:t>
      </w:r>
      <w:r>
        <w:rPr>
          <w:iCs/>
          <w:i/>
        </w:rPr>
        <w:t xml:space="preserve">routines</w:t>
      </w:r>
      <w:r>
        <w:t xml:space="preserve">, not only models).</w:t>
      </w:r>
    </w:p>
    <w:bookmarkEnd w:id="26"/>
    <w:bookmarkStart w:id="27" w:name="X8486dfb33d0aeda227af6a8185666d1f76b35dc"/>
    <w:p>
      <w:pPr>
        <w:pStyle w:val="Heading3"/>
      </w:pPr>
      <w:r>
        <w:t xml:space="preserve">N6. BP’s Virtual Teamwork program — the canonical oil &amp; gas KM success case</w:t>
      </w:r>
    </w:p>
    <w:p>
      <w:pPr>
        <w:pStyle w:val="FirstParagraph"/>
      </w:pPr>
      <w:r>
        <w:t xml:space="preserve">Our Chapter 5 industry perspective cites CALL, Schlumberger, and Shell communities of practice. Document A adds the missing canonical petroleum case: BP’s mid-1990s</w:t>
      </w:r>
      <w:r>
        <w:t xml:space="preserve"> </w:t>
      </w:r>
      <w:r>
        <w:rPr>
          <w:bCs/>
          <w:b/>
        </w:rPr>
        <w:t xml:space="preserve">Virtual Teamwork</w:t>
      </w:r>
      <w:r>
        <w:t xml:space="preserve"> </w:t>
      </w:r>
      <w:r>
        <w:t xml:space="preserve">program (</w:t>
      </w:r>
      <w:r>
        <w:rPr>
          <w:bCs/>
          <w:b/>
        </w:rPr>
        <w:t xml:space="preserve">Peer Assist, After Action Review, Retrospect</w:t>
      </w:r>
      <w:r>
        <w:t xml:space="preserve">), including a documented North Sea example where a video link resolved a drilling hardware problem in hours, avoiding a return to port costing</w:t>
      </w:r>
      <w:r>
        <w:t xml:space="preserve"> </w:t>
      </w:r>
      <w:r>
        <w:t xml:space="preserve">“</w:t>
      </w:r>
      <w:r>
        <w:t xml:space="preserve">a minimum of $150,000 per day</w:t>
      </w:r>
      <w:r>
        <w:t xml:space="preserve">”</w:t>
      </w:r>
      <w:r>
        <w:t xml:space="preserve"> </w:t>
      </w:r>
      <w:r>
        <w:t xml:space="preserve">— and BP’s practice of tagging lessons with monetary-value</w:t>
      </w:r>
      <w:r>
        <w:t xml:space="preserve"> </w:t>
      </w:r>
      <w:r>
        <w:t xml:space="preserve">“</w:t>
      </w:r>
      <w:r>
        <w:t xml:space="preserve">buckets.</w:t>
      </w:r>
      <w:r>
        <w:t xml:space="preserve">”</w:t>
      </w:r>
      <w:r>
        <w:t xml:space="preserve"> </w:t>
      </w:r>
      <w:r>
        <w:t xml:space="preserve">The value-tagging practice is directly relevant to our D4 confidence model: BP priced lessons, which is one step beyond tiering them.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§5.7 (industry perspective) and §5.5 (quality tiers).</w:t>
      </w:r>
    </w:p>
    <w:bookmarkEnd w:id="27"/>
    <w:bookmarkStart w:id="28" w:name="Xf0e3a760c43cbdd4d65392b76953d3090981d0b"/>
    <w:p>
      <w:pPr>
        <w:pStyle w:val="Heading3"/>
      </w:pPr>
      <w:r>
        <w:t xml:space="preserve">N7. European Commission JRC / IChemE guidance on embedding lessons</w:t>
      </w:r>
    </w:p>
    <w:p>
      <w:pPr>
        <w:pStyle w:val="FirstParagraph"/>
      </w:pPr>
      <w:r>
        <w:t xml:space="preserve">Document B contributes an institutional source our report does not use: the</w:t>
      </w:r>
      <w:r>
        <w:t xml:space="preserve"> </w:t>
      </w:r>
      <w:r>
        <w:rPr>
          <w:bCs/>
          <w:b/>
        </w:rPr>
        <w:t xml:space="preserve">EU Joint Research Centre’s</w:t>
      </w:r>
      <w:r>
        <w:t xml:space="preserve"> </w:t>
      </w:r>
      <w:r>
        <w:t xml:space="preserve">lessons-learned guidance for process safety — databases alone do not create learning because</w:t>
      </w:r>
      <w:r>
        <w:t xml:space="preserve"> </w:t>
      </w:r>
      <w:r>
        <w:t xml:space="preserve">“</w:t>
      </w:r>
      <w:r>
        <w:t xml:space="preserve">there is no simple path between stored cases and the experience of design or operational teams</w:t>
      </w:r>
      <w:r>
        <w:t xml:space="preserve">”</w:t>
      </w:r>
      <w:r>
        <w:t xml:space="preserve">; recommendations must be</w:t>
      </w:r>
      <w:r>
        <w:t xml:space="preserve"> </w:t>
      </w:r>
      <w:r>
        <w:rPr>
          <w:bCs/>
          <w:b/>
        </w:rPr>
        <w:t xml:space="preserve">linked to causes, deliberately disseminated, and embedded into standards, procedures, training, and routines</w:t>
      </w:r>
      <w:r>
        <w:t xml:space="preserve">, and lessons should</w:t>
      </w:r>
      <w:r>
        <w:t xml:space="preserve"> </w:t>
      </w:r>
      <w:r>
        <w:rPr>
          <w:bCs/>
          <w:b/>
        </w:rPr>
        <w:t xml:space="preserve">spread geographically and organizationally</w:t>
      </w:r>
      <w:r>
        <w:t xml:space="preserve"> </w:t>
      </w:r>
      <w:r>
        <w:t xml:space="preserve">to similar sites and future designs. This corroborates our Gap 2 from a regulator-adjacent direction and adds the</w:t>
      </w:r>
      <w:r>
        <w:t xml:space="preserve"> </w:t>
      </w:r>
      <w:r>
        <w:rPr>
          <w:iCs/>
          <w:i/>
        </w:rPr>
        <w:t xml:space="preserve">embedding targets</w:t>
      </w:r>
      <w:r>
        <w:t xml:space="preserve"> </w:t>
      </w:r>
      <w:r>
        <w:t xml:space="preserve">(standards, training, routines) our lesson→standard interface names but does not enumerate.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§3.2 (Gap 2) and §5.6 (D5 lifecycle/interface closures).</w:t>
      </w:r>
    </w:p>
    <w:bookmarkEnd w:id="28"/>
    <w:bookmarkStart w:id="29" w:name="X231813b8810feb5e10f231136e10a49cf4db1c0"/>
    <w:p>
      <w:pPr>
        <w:pStyle w:val="Heading3"/>
      </w:pPr>
      <w:r>
        <w:t xml:space="preserve">N8. Sector KM literature: Grant review, contract-workforce attrition, APQC AI-era guidance</w:t>
      </w:r>
    </w:p>
    <w:p>
      <w:pPr>
        <w:pStyle w:val="FirstParagraph"/>
      </w:pPr>
      <w:r>
        <w:t xml:space="preserve">Three smaller but real additions to Chapter 5’s evidence base: (a)</w:t>
      </w:r>
      <w:r>
        <w:t xml:space="preserve"> </w:t>
      </w:r>
      <w:r>
        <w:rPr>
          <w:bCs/>
          <w:b/>
        </w:rPr>
        <w:t xml:space="preserve">Grant’s review of KM in the oil and gas sector</w:t>
      </w:r>
      <w:r>
        <w:t xml:space="preserve"> </w:t>
      </w:r>
      <w:r>
        <w:t xml:space="preserve">on the difficulty of converting tacit to explicit knowledge — the standard academic citation for our Gap 7 claims; (b) research on</w:t>
      </w:r>
      <w:r>
        <w:t xml:space="preserve"> </w:t>
      </w:r>
      <w:r>
        <w:rPr>
          <w:bCs/>
          <w:b/>
        </w:rPr>
        <w:t xml:space="preserve">contract and contingent labor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hollowing out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organizational memory</w:t>
      </w:r>
      <w:r>
        <w:t xml:space="preserve"> </w:t>
      </w:r>
      <w:r>
        <w:t xml:space="preserve">in oil and gas (Documents B/C) — a workforce-structure driver of knowledge loss beyond our retirement/rotation framing; (c)</w:t>
      </w:r>
      <w:r>
        <w:t xml:space="preserve"> </w:t>
      </w:r>
      <w:r>
        <w:rPr>
          <w:bCs/>
          <w:b/>
        </w:rPr>
        <w:t xml:space="preserve">APQC’s current guidance</w:t>
      </w:r>
      <w:r>
        <w:t xml:space="preserve"> </w:t>
      </w:r>
      <w:r>
        <w:t xml:space="preserve">that AI and search layers</w:t>
      </w:r>
      <w:r>
        <w:t xml:space="preserve"> </w:t>
      </w:r>
      <w:r>
        <w:rPr>
          <w:iCs/>
          <w:i/>
        </w:rPr>
        <w:t xml:space="preserve">amplify</w:t>
      </w:r>
      <w:r>
        <w:t xml:space="preserve"> </w:t>
      </w:r>
      <w:r>
        <w:t xml:space="preserve">weak content (outdated, duplicated, unowned), and that AI considerations should be integrated into KM strategy and governance rather than run as a separate agenda — which strengthens our Insight 6/Chapter 5 D7 with a named industry body.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§3.7 (Gap 7), §5.7 and §5.8.</w:t>
      </w:r>
    </w:p>
    <w:bookmarkEnd w:id="29"/>
    <w:bookmarkStart w:id="30" w:name="Xbde6b3e2a481974f31e698d525d464a7d4ea9d1"/>
    <w:p>
      <w:pPr>
        <w:pStyle w:val="Heading3"/>
      </w:pPr>
      <w:r>
        <w:t xml:space="preserve">N9. State-gate backcasting mechanics and the</w:t>
      </w:r>
      <w:r>
        <w:t xml:space="preserve"> </w:t>
      </w:r>
      <w:r>
        <w:t xml:space="preserve">“</w:t>
      </w:r>
      <w:r>
        <w:t xml:space="preserve">transformation knowledge</w:t>
      </w:r>
      <w:r>
        <w:t xml:space="preserve">”</w:t>
      </w:r>
      <w:r>
        <w:t xml:space="preserve"> </w:t>
      </w:r>
      <w:r>
        <w:t xml:space="preserve">gap</w:t>
      </w:r>
    </w:p>
    <w:p>
      <w:pPr>
        <w:pStyle w:val="FirstParagraph"/>
      </w:pPr>
      <w:r>
        <w:t xml:space="preserve">Document C describes an open-source industrial-cluster backcasting toolkit that solves an optimal future configuration as a</w:t>
      </w:r>
      <w:r>
        <w:t xml:space="preserve"> </w:t>
      </w:r>
      <w:r>
        <w:t xml:space="preserve">“</w:t>
      </w:r>
      <w:r>
        <w:t xml:space="preserve">snapshot</w:t>
      </w:r>
      <w:r>
        <w:t xml:space="preserve">”</w:t>
      </w:r>
      <w:r>
        <w:t xml:space="preserve"> </w:t>
      </w:r>
      <w:r>
        <w:t xml:space="preserve">and works backward through</w:t>
      </w:r>
      <w:r>
        <w:t xml:space="preserve"> </w:t>
      </w:r>
      <w:r>
        <w:rPr>
          <w:bCs/>
          <w:b/>
        </w:rPr>
        <w:t xml:space="preserve">time-phased investment rounds bounded by user-defined intermediate state gates</w:t>
      </w:r>
      <w:r>
        <w:t xml:space="preserve"> </w:t>
      </w:r>
      <w:r>
        <w:t xml:space="preserve">that must be revisited as conditions evolve; Document B adds that newer backcasting literature identifies a</w:t>
      </w:r>
      <w:r>
        <w:t xml:space="preserve"> </w:t>
      </w:r>
      <w:r>
        <w:rPr>
          <w:bCs/>
          <w:b/>
        </w:rPr>
        <w:t xml:space="preserve">rigor and traceability gap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transformation knowledge</w:t>
      </w:r>
      <w:r>
        <w:t xml:space="preserve">”</w:t>
      </w:r>
      <w:r>
        <w:t xml:space="preserve"> </w:t>
      </w:r>
      <w:r>
        <w:t xml:space="preserve">connecting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must happen to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does it and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is routinely under-specified. Together these give our Gap 8 a concrete mechanism (state gates as the milestone-governance object) and a named deficiency (who/how traceability) that maps directly onto D5 lifecycle ownership.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§3.8 (Gap 8) and §5.6.</w:t>
      </w:r>
    </w:p>
    <w:bookmarkEnd w:id="30"/>
    <w:bookmarkStart w:id="31" w:name="X41d448617c53227b0d9fc5885bfe7dc25cb7e72"/>
    <w:p>
      <w:pPr>
        <w:pStyle w:val="Heading3"/>
      </w:pPr>
      <w:r>
        <w:t xml:space="preserve">N10. Retrieval-dimension richness for the taxonomy</w:t>
      </w:r>
    </w:p>
    <w:p>
      <w:pPr>
        <w:pStyle w:val="FirstParagraph"/>
      </w:pPr>
      <w:r>
        <w:t xml:space="preserve">Document B specifies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 contextualized knowledge asset must be retrievable —</w:t>
      </w:r>
      <w:r>
        <w:t xml:space="preserve"> </w:t>
      </w:r>
      <w:r>
        <w:t xml:space="preserve">“</w:t>
      </w:r>
      <w:r>
        <w:t xml:space="preserve">not only by title or author, but also by</w:t>
      </w:r>
      <w:r>
        <w:t xml:space="preserve"> </w:t>
      </w:r>
      <w:r>
        <w:rPr>
          <w:bCs/>
          <w:b/>
        </w:rPr>
        <w:t xml:space="preserve">decision type, asset, crude family, product, channel, scenario, time period, objective traded off, and outcome observed</w:t>
      </w:r>
      <w:r>
        <w:t xml:space="preserve">.</w:t>
      </w:r>
      <w:r>
        <w:t xml:space="preserve">”</w:t>
      </w:r>
      <w:r>
        <w:t xml:space="preserve"> </w:t>
      </w:r>
      <w:r>
        <w:t xml:space="preserve">Our D3 defines context fields but does not state the retrieval-dimension test. This is a practical acceptance criterion for the taxonomy: if a user cannot retrieve by these dimensions, the contextualization is insufficient. Document A’s</w:t>
      </w:r>
      <w:r>
        <w:t xml:space="preserve"> </w:t>
      </w:r>
      <w:r>
        <w:t xml:space="preserve">“</w:t>
      </w:r>
      <w:r>
        <w:rPr>
          <w:bCs/>
          <w:b/>
        </w:rPr>
        <w:t xml:space="preserve">decision DNA</w:t>
      </w:r>
      <w:r>
        <w:t xml:space="preserve">”</w:t>
      </w:r>
      <w:r>
        <w:t xml:space="preserve"> </w:t>
      </w:r>
      <w:r>
        <w:t xml:space="preserve">label (what was decided, alternatives, assumptions and basis, trade-offs, scenario, who decided, predicted vs. actual outcome) is a useful shorthand for the same template content.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§5.4 (D3) as an explicit retrieval-dimension requirement.</w:t>
      </w:r>
    </w:p>
    <w:bookmarkEnd w:id="31"/>
    <w:bookmarkStart w:id="32" w:name="Xd0295f96f548ab6bf64f8dd668178fb78f743ec"/>
    <w:p>
      <w:pPr>
        <w:pStyle w:val="Heading3"/>
      </w:pPr>
      <w:r>
        <w:t xml:space="preserve">N11. Additional quantified anchors and staged advance-criteria</w:t>
      </w:r>
    </w:p>
    <w:p>
      <w:pPr>
        <w:pStyle w:val="FirstParagraph"/>
      </w:pPr>
      <w:r>
        <w:t xml:space="preserve">Two final increments: (a)</w:t>
      </w:r>
      <w:r>
        <w:t xml:space="preserve"> </w:t>
      </w:r>
      <w:r>
        <w:rPr>
          <w:bCs/>
          <w:b/>
        </w:rPr>
        <w:t xml:space="preserve">BCG’s estimate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 to $3 per barrel</w:t>
      </w:r>
      <w:r>
        <w:rPr>
          <w:bCs/>
          <w:b/>
        </w:rPr>
        <w:t xml:space="preserve">”</w:t>
      </w:r>
      <w:r>
        <w:t xml:space="preserve"> </w:t>
      </w:r>
      <w:r>
        <w:t xml:space="preserve">when all downstream levers are addressed comprehensively, with</w:t>
      </w:r>
      <w:r>
        <w:t xml:space="preserve"> </w:t>
      </w:r>
      <w:r>
        <w:rPr>
          <w:bCs/>
          <w:b/>
        </w:rPr>
        <w:t xml:space="preserve">~60% of total savings from operations and optimized planning</w:t>
      </w:r>
      <w:r>
        <w:t xml:space="preserve">, and the observation that integrated downstream earnings fell ~50% in 2024 — useful motivation and volatility context for Chapter 1 (flagged, like our other consultancy figures, as estimates); and (b) Document A’s</w:t>
      </w:r>
      <w:r>
        <w:t xml:space="preserve"> </w:t>
      </w:r>
      <w:r>
        <w:rPr>
          <w:bCs/>
          <w:b/>
        </w:rPr>
        <w:t xml:space="preserve">stage-advance thresholds</w:t>
      </w:r>
      <w:r>
        <w:t xml:space="preserve"> </w:t>
      </w:r>
      <w:r>
        <w:t xml:space="preserve">for the roadmap — e.g.,</w:t>
      </w:r>
      <w:r>
        <w:t xml:space="preserve"> </w:t>
      </w:r>
      <w:r>
        <w:t xml:space="preserve">“</w:t>
      </w:r>
      <w:r>
        <w:t xml:space="preserve">a majority of new backcasts/post-audits captured in the standard template</w:t>
      </w:r>
      <w:r>
        <w:t xml:space="preserve">”</w:t>
      </w:r>
      <w:r>
        <w:t xml:space="preserve"> </w:t>
      </w:r>
      <w:r>
        <w:t xml:space="preserve">before scaling capture, and</w:t>
      </w:r>
      <w:r>
        <w:t xml:space="preserve"> </w:t>
      </w:r>
      <w:r>
        <w:t xml:space="preserve">“</w:t>
      </w:r>
      <w:r>
        <w:rPr>
          <w:bCs/>
          <w:b/>
        </w:rPr>
        <w:t xml:space="preserve">at least one documented case of a lesson changing a planning assumption or constraint</w:t>
      </w:r>
      <w:r>
        <w:t xml:space="preserve">”</w:t>
      </w:r>
      <w:r>
        <w:t xml:space="preserve"> </w:t>
      </w:r>
      <w:r>
        <w:t xml:space="preserve">before declaring governance active, plus</w:t>
      </w:r>
      <w:r>
        <w:t xml:space="preserve"> </w:t>
      </w:r>
      <w:r>
        <w:t xml:space="preserve">“</w:t>
      </w:r>
      <w:r>
        <w:t xml:space="preserve">metrics that would change the plan</w:t>
      </w:r>
      <w:r>
        <w:t xml:space="preserve">”</w:t>
      </w:r>
      <w:r>
        <w:t xml:space="preserve"> </w:t>
      </w:r>
      <w:r>
        <w:t xml:space="preserve">(if reuse stalls despite good capture, the constraint is culture/incentives, not tooling). Our Chapter 5 D8 sequences the roadmap but sets no measurable gates; these supply the missing verification logic without prescribing a solution.</w:t>
      </w:r>
      <w:r>
        <w:t xml:space="preserve"> </w:t>
      </w:r>
      <w:r>
        <w:rPr>
          <w:bCs/>
          <w:b/>
        </w:rPr>
        <w:t xml:space="preserve">Insert into:</w:t>
      </w:r>
      <w:r>
        <w:t xml:space="preserve"> </w:t>
      </w:r>
      <w:r>
        <w:t xml:space="preserve">§1.3 (Chapter 1) and §5.9 (D8).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2655054346da5432aa73d3e7b27b4a55236a330"/>
    <w:p>
      <w:pPr>
        <w:pStyle w:val="Heading2"/>
      </w:pPr>
      <w:r>
        <w:t xml:space="preserve">3. What the external documents covered that we already have (no action)</w:t>
      </w:r>
    </w:p>
    <w:p>
      <w:pPr>
        <w:pStyle w:val="FirstParagraph"/>
      </w:pPr>
      <w:r>
        <w:t xml:space="preserve">For completeness, the following external-document themes were checked and found already present in our report, typically with deeper sourcing: margin-variance vs. backcasting practice (our §2.1–2.2, dim02/03/08); data fragmentation and missing semantics (Gap 1, dim07); variance-reporting vs. learning (Gap 2); broken feedback into LP/planning (Gap 3); point-forecast fragility and scenario narrowness (Gap 4); KPI misalignment (Gap 5); weak RCA discipline (Gap 6); tribal knowledge, retirement and attrition risk, including the $31.5B IDC figure (Gap 7, dim11); idealized end-states and stale pathways (Gap 8, dim06); ISO 30401, APQC maturity, lessons-learned failure modes (Chapter 5, dim12); the</w:t>
      </w:r>
      <w:r>
        <w:t xml:space="preserve"> </w:t>
      </w:r>
      <w:r>
        <w:t xml:space="preserve">“</w:t>
      </w:r>
      <w:r>
        <w:t xml:space="preserve">amplification paradox</w:t>
      </w:r>
      <w:r>
        <w:t xml:space="preserve">”</w:t>
      </w:r>
      <w:r>
        <w:t xml:space="preserve"> </w:t>
      </w:r>
      <w:r>
        <w:t xml:space="preserve">of a mature CI program (Chapter 4); and the CI-first rationale (Chapter 6, Insight 7). None of these requires modification.</w:t>
      </w:r>
    </w:p>
    <w:p>
      <w:r>
        <w:pict>
          <v:rect style="width:0;height:1.5pt" o:hralign="center" o:hrstd="t" o:hr="t"/>
        </w:pict>
      </w:r>
    </w:p>
    <w:bookmarkEnd w:id="34"/>
    <w:bookmarkStart w:id="35" w:name="X9cb4324cc38aa309be463d7e340ac8596e3d293"/>
    <w:p>
      <w:pPr>
        <w:pStyle w:val="Heading2"/>
      </w:pPr>
      <w:r>
        <w:t xml:space="preserve">4. Evidence-quality caveats on the external documents</w:t>
      </w:r>
    </w:p>
    <w:p>
      <w:pPr>
        <w:pStyle w:val="FirstParagraph"/>
      </w:pPr>
      <w:r>
        <w:t xml:space="preserve">Before integration, the following reservations should be attached to the new material: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 B’s citations are unverifiable as delivered.</w:t>
      </w:r>
      <w:r>
        <w:t xml:space="preserve"> </w:t>
      </w:r>
      <w:r>
        <w:t xml:space="preserve">Its references are opaque machine tokens (e.g.,</w:t>
      </w:r>
      <w:r>
        <w:t xml:space="preserve"> </w:t>
      </w:r>
      <w:r>
        <w:t xml:space="preserve">“</w:t>
      </w:r>
      <w:r>
        <w:t xml:space="preserve">cite turn38view1</w:t>
      </w:r>
      <w:r>
        <w:t xml:space="preserve">”</w:t>
      </w:r>
      <w:r>
        <w:t xml:space="preserve">) with no source list — none of its claims can be traced from the document itself. Its genuinely new institutional content (JRC guidance, Grant review, APQC AI guidance, ontology research) should be</w:t>
      </w:r>
      <w:r>
        <w:t xml:space="preserve"> </w:t>
      </w:r>
      <w:r>
        <w:rPr>
          <w:bCs/>
          <w:b/>
        </w:rPr>
        <w:t xml:space="preserve">re-sourced through a short verification pass</w:t>
      </w:r>
      <w:r>
        <w:t xml:space="preserve"> </w:t>
      </w:r>
      <w:r>
        <w:t xml:space="preserve">before appearing in our report, or cited as</w:t>
      </w:r>
      <w:r>
        <w:t xml:space="preserve"> </w:t>
      </w:r>
      <w:r>
        <w:t xml:space="preserve">“</w:t>
      </w:r>
      <w:r>
        <w:t xml:space="preserve">reported in secondary synthesis, primary source to be confirmed.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Upstream-origin statistics.</w:t>
      </w:r>
      <w:r>
        <w:t xml:space="preserve"> </w:t>
      </w:r>
      <w:r>
        <w:t xml:space="preserve">The 30–35% NPV-disappointment and ~60% value-at-sanction figures come from E&amp;P decision science; they evidence the</w:t>
      </w:r>
      <w:r>
        <w:t xml:space="preserve"> </w:t>
      </w:r>
      <w:r>
        <w:rPr>
          <w:iCs/>
          <w:i/>
        </w:rPr>
        <w:t xml:space="preserve">mechanism</w:t>
      </w:r>
      <w:r>
        <w:t xml:space="preserve"> </w:t>
      </w:r>
      <w:r>
        <w:t xml:space="preserve">(overconfidence plus absent lookbacks destroys value), not downstream magnitudes. Document A itself flags this correctly.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Consultancy estimates.</w:t>
      </w:r>
      <w:r>
        <w:t xml:space="preserve"> </w:t>
      </w:r>
      <w:r>
        <w:t xml:space="preserve">The McKinsey and BCG figures ($0.50–$1.00/bbl, up to $3/bbl, 60% of savings, $150k/day) are advisory estimates and single-case anecdotes — consistent with how our report already handles such figures (attributed, directional).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$31.5B IDC figure</w:t>
      </w:r>
      <w:r>
        <w:t xml:space="preserve"> </w:t>
      </w:r>
      <w:r>
        <w:t xml:space="preserve">circulates through secondary sources (HBR 2017); our report already carries it with a vendor/secondary caveat.</w:t>
      </w:r>
    </w:p>
    <w:p>
      <w:r>
        <w:pict>
          <v:rect style="width:0;height:1.5pt" o:hralign="center" o:hrstd="t" o:hr="t"/>
        </w:pict>
      </w:r>
    </w:p>
    <w:bookmarkEnd w:id="35"/>
    <w:bookmarkStart w:id="36" w:name="bottom-line"/>
    <w:p>
      <w:pPr>
        <w:pStyle w:val="Heading2"/>
      </w:pPr>
      <w:r>
        <w:t xml:space="preserve">5. Bottom line</w:t>
      </w:r>
    </w:p>
    <w:p>
      <w:pPr>
        <w:pStyle w:val="FirstParagraph"/>
      </w:pPr>
      <w:r>
        <w:t xml:space="preserve">The three external outputs</w:t>
      </w:r>
      <w:r>
        <w:t xml:space="preserve"> </w:t>
      </w:r>
      <w:r>
        <w:rPr>
          <w:bCs/>
          <w:b/>
        </w:rPr>
        <w:t xml:space="preserve">validate</w:t>
      </w:r>
      <w:r>
        <w:t xml:space="preserve"> </w:t>
      </w:r>
      <w:r>
        <w:t xml:space="preserve">the report’s architecture — independent teams reached the same gap structure and the same CI-first KM conclusion. Their marginal contribution is eleven focused additions, of which three are material enough to change the text substantively: the</w:t>
      </w:r>
      <w:r>
        <w:t xml:space="preserve"> </w:t>
      </w:r>
      <w:r>
        <w:rPr>
          <w:bCs/>
          <w:b/>
        </w:rPr>
        <w:t xml:space="preserve">two-senses-of-backcasting distinction (N1)</w:t>
      </w:r>
      <w:r>
        <w:t xml:space="preserve">, the</w:t>
      </w:r>
      <w:r>
        <w:t xml:space="preserve"> </w:t>
      </w:r>
      <w:r>
        <w:rPr>
          <w:bCs/>
          <w:b/>
        </w:rPr>
        <w:t xml:space="preserve">cognitive-bias/decision-science layer (N2)</w:t>
      </w:r>
      <w:r>
        <w:t xml:space="preserve">, and the</w:t>
      </w:r>
      <w:r>
        <w:t xml:space="preserve"> </w:t>
      </w:r>
      <w:r>
        <w:rPr>
          <w:bCs/>
          <w:b/>
        </w:rPr>
        <w:t xml:space="preserve">state-gate/transformation-knowledge mechanics for backcasting governance (N9)</w:t>
      </w:r>
      <w:r>
        <w:t xml:space="preserve">. The remainder are targeted enrichments (worked examples, cases, sources, and roadmap advance-criteria) that can be inserted at the section level without restructuring any chapter. A short source-verification pass on the Document B items (N7, N8) is the only prerequisite to integration.</w:t>
      </w:r>
    </w:p>
    <w:bookmarkEnd w:id="36"/>
    <w:bookmarkEnd w:id="37"/>
    <w:sectPr>
      <w:footerReference r:id="rId9" w:type="default"/>
      <w:pgMar w:bottom="1296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F7080"/>
        <w:sz w:val="18"/>
        <w:szCs w:val="18"/>
      </w:rPr>
      <w:t xml:space="preserve">Page </w:t>
    </w:r>
    <w:r>
      <w:rPr>
        <w:rFonts w:ascii="Calibri" w:hAnsi="Calibri"/>
        <w:color w:val="5F7080"/>
        <w:sz w:val="18"/>
        <w:szCs w:val="18"/>
      </w:rPr>
      <w:fldChar w:fldCharType="begin"/>
    </w:r>
    <w:r>
      <w:rPr>
        <w:rFonts w:ascii="Calibri" w:hAnsi="Calibri"/>
        <w:color w:val="5F7080"/>
        <w:sz w:val="18"/>
        <w:szCs w:val="18"/>
      </w:rPr>
      <w:instrText xml:space="preserve"> PAGE </w:instrText>
    </w:r>
    <w:r>
      <w:rPr>
        <w:rFonts w:ascii="Calibri" w:hAnsi="Calibri"/>
        <w:color w:val="5F7080"/>
        <w:sz w:val="18"/>
        <w:szCs w:val="18"/>
      </w:rPr>
      <w:fldChar w:fldCharType="end"/>
    </w:r>
    <w:r>
      <w:rPr>
        <w:rFonts w:ascii="Calibri" w:hAnsi="Calibri"/>
        <w:color w:val="5F7080"/>
        <w:sz w:val="18"/>
        <w:szCs w:val="18"/>
      </w:rPr>
      <w:t xml:space="preserve"> of </w:t>
    </w:r>
    <w:r>
      <w:rPr>
        <w:rFonts w:ascii="Calibri" w:hAnsi="Calibri"/>
        <w:color w:val="5F7080"/>
        <w:sz w:val="18"/>
        <w:szCs w:val="18"/>
      </w:rPr>
      <w:fldChar w:fldCharType="begin"/>
    </w:r>
    <w:r>
      <w:rPr>
        <w:rFonts w:ascii="Calibri" w:hAnsi="Calibri"/>
        <w:color w:val="5F7080"/>
        <w:sz w:val="18"/>
        <w:szCs w:val="18"/>
      </w:rPr>
      <w:instrText xml:space="preserve"> NUMPAGES </w:instrText>
    </w:r>
    <w:r>
      <w:rPr>
        <w:rFonts w:ascii="Calibri" w:hAnsi="Calibri"/>
        <w:color w:val="5F7080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left"/>
    </w:pPr>
    <w:rPr>
      <w:rFonts w:ascii="Calibri" w:cs="Calibri" w:eastAsia="Calibri" w:hAnsi="Calibri"/>
      <w:color w:val="20242B"/>
      <w:sz w:val="22"/>
    </w:rPr>
  </w:style>
  <w:style w:styleId="BodyText" w:type="paragraph">
    <w:name w:val="Body Text"/>
    <w:basedOn w:val="Normal"/>
    <w:link w:val="BodyTextChar"/>
    <w:pPr>
      <w:spacing w:after="120" w:before="0" w:line="276" w:lineRule="auto"/>
    </w:pPr>
    <w:qFormat/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</w:style>
  <w:style w:customStyle="1" w:styleId="Compact" w:type="paragraph">
    <w:name w:val="Compact"/>
    <w:basedOn w:val="BodyText"/>
    <w:qFormat/>
    <w:pPr>
      <w:spacing w:after="40" w:before="0" w:line="264" w:lineRule="auto"/>
    </w:pPr>
    <w:rPr>
      <w:color w:val="20242B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120"/>
      <w:jc w:val="center"/>
    </w:pPr>
    <w:rPr>
      <w:rFonts w:ascii="Calibri Light" w:asciiTheme="majorHAnsi" w:cs="Calibri Light" w:cstheme="majorBidi" w:eastAsia="Calibri Light" w:eastAsiaTheme="majorEastAsia" w:hAnsi="Calibri Light" w:hAnsiTheme="majorHAnsi"/>
      <w:b/>
      <w:bCs/>
      <w:color w:val="1C3D5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00"/>
      <w:outlineLvl w:val="0"/>
      <w:pBdr>
        <w:bottom w:color="9DB4C6" w:space="3" w:sz="6" w:val="single"/>
      </w:pBdr>
    </w:pPr>
    <w:rPr>
      <w:rFonts w:ascii="Calibri Light" w:asciiTheme="majorHAnsi" w:cs="Calibri Light" w:cstheme="majorBidi" w:eastAsia="Calibri Light" w:eastAsiaTheme="majorEastAsia" w:hAnsi="Calibri Light" w:hAnsiTheme="majorHAnsi"/>
      <w:b/>
      <w:bCs/>
      <w:i w:val="0"/>
      <w:color w:val="1C3D5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80"/>
      <w:outlineLvl w:val="1"/>
    </w:pPr>
    <w:rPr>
      <w:rFonts w:ascii="Calibri Light" w:asciiTheme="majorHAnsi" w:cs="Calibri Light" w:cstheme="majorBidi" w:eastAsia="Calibri Light" w:eastAsiaTheme="majorEastAsia" w:hAnsi="Calibri Light" w:hAnsiTheme="majorHAnsi"/>
      <w:b/>
      <w:bCs/>
      <w:i w:val="0"/>
      <w:color w:val="1C3D5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20"/>
      <w:outlineLvl w:val="2"/>
    </w:pPr>
    <w:rPr>
      <w:rFonts w:ascii="Calibri Light" w:asciiTheme="majorHAnsi" w:cs="Calibri Light" w:cstheme="majorBidi" w:eastAsia="Calibri Light" w:eastAsiaTheme="majorEastAsia" w:hAnsi="Calibri Light" w:hAnsiTheme="majorHAnsi"/>
      <w:b/>
      <w:bCs/>
      <w:i w:val="0"/>
      <w:color w:val="2E5476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80"/>
      <w:outlineLvl w:val="3"/>
    </w:pPr>
    <w:rPr>
      <w:rFonts w:ascii="Calibri Light" w:asciiTheme="majorHAnsi" w:cs="Calibri Light" w:cstheme="majorBidi" w:eastAsia="Calibri Light" w:eastAsiaTheme="majorEastAsia" w:hAnsi="Calibri Light" w:hAnsiTheme="majorHAnsi"/>
      <w:i/>
      <w:b/>
      <w:bCs/>
      <w:color w:val="2E5476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60"/>
      <w:outlineLvl w:val="4"/>
    </w:pPr>
    <w:rPr>
      <w:rFonts w:ascii="Calibri Light" w:asciiTheme="majorHAnsi" w:cs="Calibri Light" w:cstheme="majorBidi" w:eastAsia="Calibri Light" w:eastAsiaTheme="majorEastAsia" w:hAnsi="Calibri Light" w:hAnsiTheme="majorHAnsi"/>
      <w:b/>
      <w:i w:val="0"/>
      <w:iCs/>
      <w:color w:val="456A86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60"/>
      <w:outlineLvl w:val="5"/>
    </w:pPr>
    <w:rPr>
      <w:rFonts w:ascii="Calibri Light" w:asciiTheme="majorHAnsi" w:cs="Calibri Light" w:cstheme="majorBidi" w:eastAsia="Calibri Light" w:eastAsiaTheme="majorEastAsia" w:hAnsi="Calibri Light" w:hAnsiTheme="majorHAnsi"/>
      <w:b/>
      <w:i/>
      <w:color w:val="456A86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32" w:right="288"/>
    </w:pPr>
    <w:rPr>
      <w:i/>
      <w:color w:val="47525E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color w:val="20242B"/>
      <w:sz w:val="18"/>
      <w:szCs w:val="18"/>
    </w:rPr>
    <w:pPr>
      <w:spacing w:before="0" w:after="0" w:line="200" w:lineRule="exact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1C3D5A" w:space="0" w:sz="12" w:val="single"/>
        <w:left w:color="auto" w:space="0" w:sz="0" w:val="none"/>
        <w:bottom w:color="1C3D5A" w:space="0" w:sz="12" w:val="single"/>
        <w:right w:color="auto" w:space="0" w:sz="0" w:val="none"/>
        <w:insideH w:color="C7D3DD" w:space="0" w:sz="4" w:val="single"/>
        <w:insideV w:color="DDE5EC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  <w:sz w:val="20"/>
        <w:szCs w:val="20"/>
      </w:rPr>
      <w:tcPr>
        <w:shd w:color="auto" w:fill="1C3D5A" w:val="clear"/>
      </w:tcPr>
    </w:tblStylePr>
    <w:tblStylePr w:type="band1Horz">
      <w:tcPr>
        <w:shd w:color="auto" w:fill="F1F5F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80"/>
    </w:pPr>
    <w:rPr>
      <w:i/>
      <w:color w:val="5F7080"/>
      <w:sz w:val="18"/>
    </w:rPr>
  </w:style>
  <w:style w:customStyle="1" w:styleId="TableCaption" w:type="paragraph">
    <w:name w:val="Table Caption"/>
    <w:basedOn w:val="Caption"/>
    <w:pPr>
      <w:keepNext/>
      <w:spacing w:after="160" w:before="80"/>
    </w:pPr>
    <w:rPr>
      <w:i/>
      <w:color w:val="5F7080"/>
      <w:sz w:val="18"/>
    </w:rPr>
  </w:style>
  <w:style w:customStyle="1" w:styleId="ImageCaption" w:type="paragraph">
    <w:name w:val="Image Caption"/>
    <w:basedOn w:val="Caption"/>
    <w:pPr>
      <w:spacing w:after="160" w:before="80"/>
      <w:jc w:val="center"/>
    </w:pPr>
    <w:rPr>
      <w:i/>
      <w:color w:val="5F7080"/>
      <w:sz w:val="18"/>
    </w:rPr>
  </w:style>
  <w:style w:customStyle="1" w:styleId="Figure" w:type="paragraph">
    <w:name w:val="Figure"/>
    <w:basedOn w:val="Normal"/>
    <w:pPr>
      <w:spacing w:after="40" w:before="1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E5F8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arget="footer1.xml" Type="http://schemas.openxmlformats.org/officeDocument/2006/relationships/footer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2026-07-19T00:10:40Z</dcterms:created>
  <dcterms:modified xsi:type="dcterms:W3CDTF">2026-07-19T00:10:40Z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