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B2C4F"/>
          <w:sz w:val="60"/>
        </w:rPr>
        <w:t>BETWEEN SESSIONS</w:t>
      </w:r>
    </w:p>
    <w:p>
      <w:pPr>
        <w:jc w:val="center"/>
      </w:pPr>
      <w:r>
        <w:rPr>
          <w:b/>
          <w:color w:val="2B5D9C"/>
          <w:sz w:val="26"/>
        </w:rPr>
        <w:t>A privacy-conscious OCD self-management and professional-care continuity platform</w:t>
      </w:r>
    </w:p>
    <w:p>
      <w:pPr>
        <w:jc w:val="center"/>
      </w:pPr>
      <w:r>
        <w:rPr>
          <w:color w:val="5F5F5F"/>
          <w:sz w:val="20"/>
        </w:rPr>
        <w:t>Initial wedge: OCD / ERP  •  Long-term vision: broader stepped mental-health support</w:t>
      </w:r>
    </w:p>
    <w:p/>
    <w:tbl>
      <w:tblPr>
        <w:tblStyle w:val="TableGrid"/>
        <w:tblW w:type="auto" w:w="0"/>
        <w:tblLook w:firstColumn="1" w:firstRow="1" w:lastColumn="0" w:lastRow="0" w:noHBand="0" w:noVBand="1" w:val="04A0"/>
      </w:tblPr>
      <w:tblGrid>
        <w:gridCol w:w="10080"/>
      </w:tblGrid>
      <w:tr>
        <w:trPr>
          <w:tblHeader w:val="true"/>
        </w:trPr>
        <w:tc>
          <w:tcPr>
            <w:tcW w:type="dxa" w:w="10080"/>
            <w:shd w:fill="E8F5F3"/>
          </w:tcPr>
          <w:p>
            <w:r/>
            <w:r>
              <w:rPr>
                <w:b/>
                <w:color w:val="1B2C4F"/>
                <w:sz w:val="20"/>
              </w:rPr>
              <w:t>CORE PRODUCT THESIS</w:t>
              <w:br/>
            </w:r>
            <w:r>
              <w:rPr>
                <w:color w:val="232323"/>
                <w:sz w:val="18"/>
              </w:rPr>
              <w:t>Help a person do the right next thing between professional interactions: understand the problem, practice evidence-informed behavioral strategies, track change, and reach a verified professional when human care is needed.</w:t>
            </w:r>
          </w:p>
        </w:tc>
      </w:tr>
    </w:tbl>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vAlign w:val="center"/>
            <w:shd w:fill="304F73"/>
          </w:tcPr>
          <w:p>
            <w:pPr>
              <w:spacing w:after="0"/>
            </w:pPr>
            <w:r/>
            <w:r>
              <w:rPr>
                <w:rFonts w:ascii="Aptos" w:hAnsi="Aptos"/>
                <w:b/>
                <w:color w:val="FFFFFF"/>
                <w:sz w:val="16"/>
              </w:rPr>
              <w:t>Project element</w:t>
            </w:r>
          </w:p>
        </w:tc>
        <w:tc>
          <w:tcPr>
            <w:tcW w:type="dxa" w:w="8424"/>
            <w:vAlign w:val="center"/>
            <w:shd w:fill="304F73"/>
          </w:tcPr>
          <w:p>
            <w:pPr>
              <w:spacing w:after="0"/>
            </w:pPr>
            <w:r/>
            <w:r>
              <w:rPr>
                <w:rFonts w:ascii="Aptos" w:hAnsi="Aptos"/>
                <w:b/>
                <w:color w:val="FFFFFF"/>
                <w:sz w:val="16"/>
              </w:rPr>
              <w:t>Definition</w:t>
            </w:r>
          </w:p>
        </w:tc>
      </w:tr>
      <w:tr>
        <w:tc>
          <w:tcPr>
            <w:tcW w:type="dxa" w:w="2232"/>
            <w:vAlign w:val="center"/>
          </w:tcPr>
          <w:p>
            <w:pPr>
              <w:spacing w:after="0"/>
            </w:pPr>
            <w:r/>
            <w:r>
              <w:rPr>
                <w:rFonts w:ascii="Aptos" w:hAnsi="Aptos"/>
                <w:b w:val="0"/>
                <w:color w:val="232323"/>
                <w:sz w:val="16"/>
              </w:rPr>
              <w:t>Working name</w:t>
            </w:r>
          </w:p>
        </w:tc>
        <w:tc>
          <w:tcPr>
            <w:tcW w:type="dxa" w:w="8424"/>
            <w:vAlign w:val="center"/>
          </w:tcPr>
          <w:p>
            <w:pPr>
              <w:spacing w:after="0"/>
            </w:pPr>
            <w:r/>
            <w:r>
              <w:rPr>
                <w:rFonts w:ascii="Aptos" w:hAnsi="Aptos"/>
                <w:b w:val="0"/>
                <w:color w:val="232323"/>
                <w:sz w:val="16"/>
              </w:rPr>
              <w:t>Between Sessions</w:t>
            </w:r>
          </w:p>
        </w:tc>
      </w:tr>
      <w:tr>
        <w:tc>
          <w:tcPr>
            <w:tcW w:type="dxa" w:w="2232"/>
            <w:vAlign w:val="center"/>
            <w:shd w:fill="F5F8FB"/>
          </w:tcPr>
          <w:p>
            <w:pPr>
              <w:spacing w:after="0"/>
            </w:pPr>
            <w:r/>
            <w:r>
              <w:rPr>
                <w:rFonts w:ascii="Aptos" w:hAnsi="Aptos"/>
                <w:b w:val="0"/>
                <w:color w:val="232323"/>
                <w:sz w:val="16"/>
              </w:rPr>
              <w:t>Primary domain</w:t>
            </w:r>
          </w:p>
        </w:tc>
        <w:tc>
          <w:tcPr>
            <w:tcW w:type="dxa" w:w="8424"/>
            <w:vAlign w:val="center"/>
            <w:shd w:fill="F5F8FB"/>
          </w:tcPr>
          <w:p>
            <w:pPr>
              <w:spacing w:after="0"/>
            </w:pPr>
            <w:r/>
            <w:r>
              <w:rPr>
                <w:rFonts w:ascii="Aptos" w:hAnsi="Aptos"/>
                <w:b w:val="0"/>
                <w:color w:val="232323"/>
                <w:sz w:val="16"/>
              </w:rPr>
              <w:t>Mental well-being / OCD support / digital health</w:t>
            </w:r>
          </w:p>
        </w:tc>
      </w:tr>
      <w:tr>
        <w:tc>
          <w:tcPr>
            <w:tcW w:type="dxa" w:w="2232"/>
            <w:vAlign w:val="center"/>
          </w:tcPr>
          <w:p>
            <w:pPr>
              <w:spacing w:after="0"/>
            </w:pPr>
            <w:r/>
            <w:r>
              <w:rPr>
                <w:rFonts w:ascii="Aptos" w:hAnsi="Aptos"/>
                <w:b w:val="0"/>
                <w:color w:val="232323"/>
                <w:sz w:val="16"/>
              </w:rPr>
              <w:t>Primary user</w:t>
            </w:r>
          </w:p>
        </w:tc>
        <w:tc>
          <w:tcPr>
            <w:tcW w:type="dxa" w:w="8424"/>
            <w:vAlign w:val="center"/>
          </w:tcPr>
          <w:p>
            <w:pPr>
              <w:spacing w:after="0"/>
            </w:pPr>
            <w:r/>
            <w:r>
              <w:rPr>
                <w:rFonts w:ascii="Aptos" w:hAnsi="Aptos"/>
                <w:b w:val="0"/>
                <w:color w:val="232323"/>
                <w:sz w:val="16"/>
              </w:rPr>
              <w:t>Person seeking structured support between or before professional interactions</w:t>
            </w:r>
          </w:p>
        </w:tc>
      </w:tr>
      <w:tr>
        <w:tc>
          <w:tcPr>
            <w:tcW w:type="dxa" w:w="2232"/>
            <w:vAlign w:val="center"/>
            <w:shd w:fill="F5F8FB"/>
          </w:tcPr>
          <w:p>
            <w:pPr>
              <w:spacing w:after="0"/>
            </w:pPr>
            <w:r/>
            <w:r>
              <w:rPr>
                <w:rFonts w:ascii="Aptos" w:hAnsi="Aptos"/>
                <w:b w:val="0"/>
                <w:color w:val="232323"/>
                <w:sz w:val="16"/>
              </w:rPr>
              <w:t>Professional side</w:t>
            </w:r>
          </w:p>
        </w:tc>
        <w:tc>
          <w:tcPr>
            <w:tcW w:type="dxa" w:w="8424"/>
            <w:vAlign w:val="center"/>
            <w:shd w:fill="F5F8FB"/>
          </w:tcPr>
          <w:p>
            <w:pPr>
              <w:spacing w:after="0"/>
            </w:pPr>
            <w:r/>
            <w:r>
              <w:rPr>
                <w:rFonts w:ascii="Aptos" w:hAnsi="Aptos"/>
                <w:b w:val="0"/>
                <w:color w:val="232323"/>
                <w:sz w:val="16"/>
              </w:rPr>
              <w:t>Verified psychiatrist / clinical psychologist / qualified mental-health practitioner, subject to applicable registration and scope</w:t>
            </w:r>
          </w:p>
        </w:tc>
      </w:tr>
      <w:tr>
        <w:tc>
          <w:tcPr>
            <w:tcW w:type="dxa" w:w="2232"/>
            <w:vAlign w:val="center"/>
          </w:tcPr>
          <w:p>
            <w:pPr>
              <w:spacing w:after="0"/>
            </w:pPr>
            <w:r/>
            <w:r>
              <w:rPr>
                <w:rFonts w:ascii="Aptos" w:hAnsi="Aptos"/>
                <w:b w:val="0"/>
                <w:color w:val="232323"/>
                <w:sz w:val="16"/>
              </w:rPr>
              <w:t>Core differentiator</w:t>
            </w:r>
          </w:p>
        </w:tc>
        <w:tc>
          <w:tcPr>
            <w:tcW w:type="dxa" w:w="8424"/>
            <w:vAlign w:val="center"/>
          </w:tcPr>
          <w:p>
            <w:pPr>
              <w:spacing w:after="0"/>
            </w:pPr>
            <w:r/>
            <w:r>
              <w:rPr>
                <w:rFonts w:ascii="Aptos" w:hAnsi="Aptos"/>
                <w:b w:val="0"/>
                <w:color w:val="232323"/>
                <w:sz w:val="16"/>
              </w:rPr>
              <w:t>Care-continuity layer rather than an AI therapist or generic wellness tracker</w:t>
            </w:r>
          </w:p>
        </w:tc>
      </w:tr>
      <w:tr>
        <w:tc>
          <w:tcPr>
            <w:tcW w:type="dxa" w:w="2232"/>
            <w:vAlign w:val="center"/>
            <w:shd w:fill="F5F8FB"/>
          </w:tcPr>
          <w:p>
            <w:pPr>
              <w:spacing w:after="0"/>
            </w:pPr>
            <w:r/>
            <w:r>
              <w:rPr>
                <w:rFonts w:ascii="Aptos" w:hAnsi="Aptos"/>
                <w:b w:val="0"/>
                <w:color w:val="232323"/>
                <w:sz w:val="16"/>
              </w:rPr>
              <w:t>Hackathon track fit</w:t>
            </w:r>
          </w:p>
        </w:tc>
        <w:tc>
          <w:tcPr>
            <w:tcW w:type="dxa" w:w="8424"/>
            <w:vAlign w:val="center"/>
            <w:shd w:fill="F5F8FB"/>
          </w:tcPr>
          <w:p>
            <w:pPr>
              <w:spacing w:after="0"/>
            </w:pPr>
            <w:r/>
            <w:r>
              <w:rPr>
                <w:rFonts w:ascii="Aptos" w:hAnsi="Aptos"/>
                <w:b w:val="0"/>
                <w:color w:val="232323"/>
                <w:sz w:val="16"/>
              </w:rPr>
              <w:t>Strong fit for Bharat Builds 'Ship It': live AWS deployment + URL</w:t>
            </w:r>
          </w:p>
        </w:tc>
      </w:tr>
      <w:tr>
        <w:tc>
          <w:tcPr>
            <w:tcW w:type="dxa" w:w="2232"/>
            <w:vAlign w:val="center"/>
          </w:tcPr>
          <w:p>
            <w:pPr>
              <w:spacing w:after="0"/>
            </w:pPr>
            <w:r/>
            <w:r>
              <w:rPr>
                <w:rFonts w:ascii="Aptos" w:hAnsi="Aptos"/>
                <w:b w:val="0"/>
                <w:color w:val="232323"/>
                <w:sz w:val="16"/>
              </w:rPr>
              <w:t>Recommended MVP</w:t>
            </w:r>
          </w:p>
        </w:tc>
        <w:tc>
          <w:tcPr>
            <w:tcW w:type="dxa" w:w="8424"/>
            <w:vAlign w:val="center"/>
          </w:tcPr>
          <w:p>
            <w:pPr>
              <w:spacing w:after="0"/>
            </w:pPr>
            <w:r/>
            <w:r>
              <w:rPr>
                <w:rFonts w:ascii="Aptos" w:hAnsi="Aptos"/>
                <w:b w:val="0"/>
                <w:color w:val="232323"/>
                <w:sz w:val="16"/>
              </w:rPr>
              <w:t>OCD education + ERP companion + behavioral tracking + AI behavioral summaries + professional connection/referral workflow</w:t>
            </w:r>
          </w:p>
        </w:tc>
      </w:tr>
      <w:tr>
        <w:tc>
          <w:tcPr>
            <w:tcW w:type="dxa" w:w="2232"/>
            <w:vAlign w:val="center"/>
            <w:shd w:fill="F5F8FB"/>
          </w:tcPr>
          <w:p>
            <w:pPr>
              <w:spacing w:after="0"/>
            </w:pPr>
            <w:r/>
            <w:r>
              <w:rPr>
                <w:rFonts w:ascii="Aptos" w:hAnsi="Aptos"/>
                <w:b w:val="0"/>
                <w:color w:val="232323"/>
                <w:sz w:val="16"/>
              </w:rPr>
              <w:t>Long-term vision</w:t>
            </w:r>
          </w:p>
        </w:tc>
        <w:tc>
          <w:tcPr>
            <w:tcW w:type="dxa" w:w="8424"/>
            <w:vAlign w:val="center"/>
            <w:shd w:fill="F5F8FB"/>
          </w:tcPr>
          <w:p>
            <w:pPr>
              <w:spacing w:after="0"/>
            </w:pPr>
            <w:r/>
            <w:r>
              <w:rPr>
                <w:rFonts w:ascii="Aptos" w:hAnsi="Aptos"/>
                <w:b w:val="0"/>
                <w:color w:val="232323"/>
                <w:sz w:val="16"/>
              </w:rPr>
              <w:t>A consent-driven, stepped-care platform connecting self-guided support, verified professionals and population-level planning insights</w:t>
            </w:r>
          </w:p>
        </w:tc>
      </w:tr>
    </w:tbl>
    <w:p/>
    <w:p>
      <w:pPr>
        <w:pStyle w:val="SmallNote"/>
      </w:pPr>
      <w:r>
        <w:t>Hackathon context checked on 16 Sep 2026: First Commit (17–20 Sep 2026) asks teams to solve a real problem; Ship It is the deployed-on-AWS track, and AWS use is mandatory to win a prize. Source [1][2].</w:t>
      </w:r>
    </w:p>
    <w:p>
      <w:r>
        <w:br w:type="page"/>
      </w:r>
    </w:p>
    <w:p>
      <w:pPr>
        <w:pStyle w:val="Heading1"/>
      </w:pPr>
      <w:r>
        <w:t>1. Executive Summary</w:t>
      </w:r>
    </w:p>
    <w:p>
      <w:r>
        <w:t>Between Sessions is proposed as a privacy-conscious digital mental-health support platform that starts with a narrow, clinically grounded use case: helping people with obsessive-compulsive symptoms navigate the period between professional interactions. The platform is designed around a simple gap: a person may need support before they are ready to see a specialist, while waiting for an appointment, or while practicing strategies outside a therapy session. The product therefore combines self-guided education, structured behavioral tracking, an AI layer that summarizes patterns in user-entered behavioral data, and a verified-practitioner pathway for escalation, guidance and referral.</w:t>
      </w:r>
    </w:p>
    <w:tbl>
      <w:tblPr>
        <w:tblStyle w:val="TableGrid"/>
        <w:tblW w:type="auto" w:w="0"/>
        <w:tblLook w:firstColumn="1" w:firstRow="1" w:lastColumn="0" w:lastRow="0" w:noHBand="0" w:noVBand="1" w:val="04A0"/>
      </w:tblPr>
      <w:tblGrid>
        <w:gridCol w:w="10080"/>
      </w:tblGrid>
      <w:tr>
        <w:trPr>
          <w:tblHeader w:val="true"/>
        </w:trPr>
        <w:tc>
          <w:tcPr>
            <w:tcW w:type="dxa" w:w="10080"/>
            <w:shd w:fill="FFF3E8"/>
          </w:tcPr>
          <w:p>
            <w:r/>
            <w:r>
              <w:rPr>
                <w:b/>
                <w:color w:val="1B2C4F"/>
                <w:sz w:val="20"/>
              </w:rPr>
              <w:t>WHAT IT IS NOT</w:t>
              <w:br/>
            </w:r>
            <w:r>
              <w:rPr>
                <w:color w:val="232323"/>
                <w:sz w:val="18"/>
              </w:rPr>
              <w:t>It is not an autonomous psychiatrist, not an emergency service, not a diagnosis engine, and not a medication-prescribing system. AI is a navigation and summarization layer; clinical decisions remain with appropriately qualified professionals.</w:t>
            </w:r>
          </w:p>
        </w:tc>
      </w:tr>
    </w:tbl>
    <w:p/>
    <w:p>
      <w:pPr>
        <w:pStyle w:val="Heading2"/>
      </w:pPr>
      <w:r>
        <w:t>1.1 Why this problem is credible in India</w:t>
      </w:r>
    </w:p>
    <w:p>
      <w:pPr>
        <w:pStyle w:val="ListBullet"/>
        <w:spacing w:after="40"/>
      </w:pPr>
      <w:r>
        <w:t>India's National Mental Health Survey (NMHS 2015–16) estimated weighted current mental morbidity at 10.6% and lifetime prevalence of any mental morbidity at 13.7% in the surveyed representative sample. It also reported large treatment gaps, ranging from 70% to 92% across different disorders; the gap was 85% for common mental disorders. [3]</w:t>
      </w:r>
    </w:p>
    <w:p>
      <w:pPr>
        <w:pStyle w:val="ListBullet"/>
        <w:spacing w:after="40"/>
      </w:pPr>
      <w:r>
        <w:t>The Government of India's National Mental Health Programme explicitly identifies a shortage of qualified mental-health professionals and prioritizes availability, accessibility, community participation and human-resource capacity. [4]</w:t>
      </w:r>
    </w:p>
    <w:p>
      <w:pPr>
        <w:pStyle w:val="ListBullet"/>
        <w:spacing w:after="40"/>
      </w:pPr>
      <w:r>
        <w:t>Tele-MANAS already provides a free 24×7 public route to counselling, specialist escalation, follow-up and links to in-person services. This means a new product should complement rather than replace emergency/public mental-health infrastructure. [4][5]</w:t>
      </w:r>
    </w:p>
    <w:p>
      <w:pPr>
        <w:pStyle w:val="ListBullet"/>
        <w:spacing w:after="40"/>
      </w:pPr>
      <w:r>
        <w:t>The completed NMHS-1 reported that awareness and availability of care were different across urban and rural settings and highlighted the need for equitable coverage. NMHS-2 is now designed with nationwide state/UT coverage and rural–urban allocation, underlining the importance of population-level mental-health service planning. [6]</w:t>
      </w:r>
    </w:p>
    <w:p>
      <w:pPr>
        <w:pStyle w:val="ListBullet"/>
        <w:spacing w:after="40"/>
      </w:pPr>
      <w:r>
        <w:t>At NIMHANS' specialised OCD clinic, a retrospective series of 2,269 patients seen from 1997–2020 found a mean duration of illness of 8.21 years at presentation; 52.5% came from states outside Karnataka. The study is a tertiary-clinic sample rather than a population prevalence survey, but it illustrates delayed presentation and cross-state demand for specialised OCD care. [7]</w:t>
      </w:r>
    </w:p>
    <w:p>
      <w:pPr>
        <w:pStyle w:val="ListBullet"/>
        <w:spacing w:after="40"/>
      </w:pPr>
      <w:r>
        <w:t>Clinical guidance from NICE supports stepped care and identifies CBT including exposure and response prevention (ERP) among key psychological treatments for OCD. For adults with mild impairment or preference for low intensity care, NICE includes structured self-help and telephone/group formats involving CBT/ERP, while more severe presentations require more intensive treatment and/or medication and professional review. [8]</w:t>
      </w:r>
    </w:p>
    <w:p>
      <w:pPr>
        <w:pStyle w:val="Heading2"/>
      </w:pPr>
      <w:r>
        <w:t>1.2 The opportunity in one sentence</w:t>
      </w:r>
    </w:p>
    <w:tbl>
      <w:tblPr>
        <w:tblStyle w:val="TableGrid"/>
        <w:tblW w:type="auto" w:w="0"/>
        <w:tblLook w:firstColumn="1" w:firstRow="1" w:lastColumn="0" w:lastRow="0" w:noHBand="0" w:noVBand="1" w:val="04A0"/>
      </w:tblPr>
      <w:tblGrid>
        <w:gridCol w:w="10080"/>
      </w:tblGrid>
      <w:tr>
        <w:trPr>
          <w:tblHeader w:val="true"/>
        </w:trPr>
        <w:tc>
          <w:tcPr>
            <w:tcW w:type="dxa" w:w="10080"/>
            <w:shd w:fill="EAF2FB"/>
          </w:tcPr>
          <w:p>
            <w:r/>
            <w:r>
              <w:rPr>
                <w:b/>
                <w:color w:val="1B2C4F"/>
                <w:sz w:val="20"/>
              </w:rPr>
              <w:t>ONE-SENTENCE PROBLEM</w:t>
              <w:br/>
            </w:r>
            <w:r>
              <w:rPr>
                <w:color w:val="232323"/>
                <w:sz w:val="18"/>
              </w:rPr>
              <w:t>There is a gap between 'I am struggling and need something now' and 'I am receiving appropriate professional care', especially when access, hesitation, cost, distance or appointment timing create friction.</w:t>
            </w:r>
          </w:p>
        </w:tc>
      </w:tr>
    </w:tbl>
    <w:p/>
    <w:p>
      <w:pPr>
        <w:pStyle w:val="Heading1"/>
      </w:pPr>
      <w:r>
        <w:t>2. Ground-Referenced Problem Statement</w:t>
      </w:r>
    </w:p>
    <w:p>
      <w:r>
        <w:t>The problem statement should be presented as an access-and-continuity problem, not as a claim that existing services are absent. India has substantial public mental-health infrastructure; the product opportunity is to improve the layer between awareness, self-management, professional support and follow-up.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88"/>
            <w:vAlign w:val="center"/>
            <w:shd w:fill="304F73"/>
          </w:tcPr>
          <w:p>
            <w:pPr>
              <w:spacing w:after="0"/>
            </w:pPr>
            <w:r/>
            <w:r>
              <w:rPr>
                <w:rFonts w:ascii="Aptos" w:hAnsi="Aptos"/>
                <w:b/>
                <w:color w:val="FFFFFF"/>
                <w:sz w:val="16"/>
              </w:rPr>
              <w:t>Observed problem</w:t>
            </w:r>
          </w:p>
        </w:tc>
        <w:tc>
          <w:tcPr>
            <w:tcW w:type="dxa" w:w="4392"/>
            <w:vAlign w:val="center"/>
            <w:shd w:fill="304F73"/>
          </w:tcPr>
          <w:p>
            <w:pPr>
              <w:spacing w:after="0"/>
            </w:pPr>
            <w:r/>
            <w:r>
              <w:rPr>
                <w:rFonts w:ascii="Aptos" w:hAnsi="Aptos"/>
                <w:b/>
                <w:color w:val="FFFFFF"/>
                <w:sz w:val="16"/>
              </w:rPr>
              <w:t>Ground evidence</w:t>
            </w:r>
          </w:p>
        </w:tc>
        <w:tc>
          <w:tcPr>
            <w:tcW w:type="dxa" w:w="4176"/>
            <w:vAlign w:val="center"/>
            <w:shd w:fill="304F73"/>
          </w:tcPr>
          <w:p>
            <w:pPr>
              <w:spacing w:after="0"/>
            </w:pPr>
            <w:r/>
            <w:r>
              <w:rPr>
                <w:rFonts w:ascii="Aptos" w:hAnsi="Aptos"/>
                <w:b/>
                <w:color w:val="FFFFFF"/>
                <w:sz w:val="16"/>
              </w:rPr>
              <w:t>Product implication</w:t>
            </w:r>
          </w:p>
        </w:tc>
      </w:tr>
      <w:tr>
        <w:tc>
          <w:tcPr>
            <w:tcW w:type="dxa" w:w="2088"/>
            <w:vAlign w:val="center"/>
          </w:tcPr>
          <w:p>
            <w:pPr>
              <w:spacing w:after="0"/>
            </w:pPr>
            <w:r/>
            <w:r>
              <w:rPr>
                <w:rFonts w:ascii="Aptos" w:hAnsi="Aptos"/>
                <w:b w:val="0"/>
                <w:color w:val="232323"/>
                <w:sz w:val="16"/>
              </w:rPr>
              <w:t>High unmet need / treatment gap</w:t>
            </w:r>
          </w:p>
        </w:tc>
        <w:tc>
          <w:tcPr>
            <w:tcW w:type="dxa" w:w="4392"/>
            <w:vAlign w:val="center"/>
          </w:tcPr>
          <w:p>
            <w:pPr>
              <w:spacing w:after="0"/>
            </w:pPr>
            <w:r/>
            <w:r>
              <w:rPr>
                <w:rFonts w:ascii="Aptos" w:hAnsi="Aptos"/>
                <w:b w:val="0"/>
                <w:color w:val="232323"/>
                <w:sz w:val="16"/>
              </w:rPr>
              <w:t>NMHS-1 found 70–92% treatment gaps across disorders; 85% for common mental disorders. [3]</w:t>
            </w:r>
          </w:p>
        </w:tc>
        <w:tc>
          <w:tcPr>
            <w:tcW w:type="dxa" w:w="4176"/>
            <w:vAlign w:val="center"/>
          </w:tcPr>
          <w:p>
            <w:pPr>
              <w:spacing w:after="0"/>
            </w:pPr>
            <w:r/>
            <w:r>
              <w:rPr>
                <w:rFonts w:ascii="Aptos" w:hAnsi="Aptos"/>
                <w:b w:val="0"/>
                <w:color w:val="232323"/>
                <w:sz w:val="16"/>
              </w:rPr>
              <w:t>Make low-friction first steps available while preserving professional escalation.</w:t>
            </w:r>
          </w:p>
        </w:tc>
      </w:tr>
      <w:tr>
        <w:tc>
          <w:tcPr>
            <w:tcW w:type="dxa" w:w="2088"/>
            <w:vAlign w:val="center"/>
            <w:shd w:fill="F5F8FB"/>
          </w:tcPr>
          <w:p>
            <w:pPr>
              <w:spacing w:after="0"/>
            </w:pPr>
            <w:r/>
            <w:r>
              <w:rPr>
                <w:rFonts w:ascii="Aptos" w:hAnsi="Aptos"/>
                <w:b w:val="0"/>
                <w:color w:val="232323"/>
                <w:sz w:val="16"/>
              </w:rPr>
              <w:t>Professional-resource constraints</w:t>
            </w:r>
          </w:p>
        </w:tc>
        <w:tc>
          <w:tcPr>
            <w:tcW w:type="dxa" w:w="4392"/>
            <w:vAlign w:val="center"/>
            <w:shd w:fill="F5F8FB"/>
          </w:tcPr>
          <w:p>
            <w:pPr>
              <w:spacing w:after="0"/>
            </w:pPr>
            <w:r/>
            <w:r>
              <w:rPr>
                <w:rFonts w:ascii="Aptos" w:hAnsi="Aptos"/>
                <w:b w:val="0"/>
                <w:color w:val="232323"/>
                <w:sz w:val="16"/>
              </w:rPr>
              <w:t>Government NMHP explicitly cites shortage of qualified mental-health professionals. [4]</w:t>
            </w:r>
          </w:p>
        </w:tc>
        <w:tc>
          <w:tcPr>
            <w:tcW w:type="dxa" w:w="4176"/>
            <w:vAlign w:val="center"/>
            <w:shd w:fill="F5F8FB"/>
          </w:tcPr>
          <w:p>
            <w:pPr>
              <w:spacing w:after="0"/>
            </w:pPr>
            <w:r/>
            <w:r>
              <w:rPr>
                <w:rFonts w:ascii="Aptos" w:hAnsi="Aptos"/>
                <w:b w:val="0"/>
                <w:color w:val="232323"/>
                <w:sz w:val="16"/>
              </w:rPr>
              <w:t>Use technology to structure self-management and clinician review, not to replace clinicians.</w:t>
            </w:r>
          </w:p>
        </w:tc>
      </w:tr>
      <w:tr>
        <w:tc>
          <w:tcPr>
            <w:tcW w:type="dxa" w:w="2088"/>
            <w:vAlign w:val="center"/>
          </w:tcPr>
          <w:p>
            <w:pPr>
              <w:spacing w:after="0"/>
            </w:pPr>
            <w:r/>
            <w:r>
              <w:rPr>
                <w:rFonts w:ascii="Aptos" w:hAnsi="Aptos"/>
                <w:b w:val="0"/>
                <w:color w:val="232323"/>
                <w:sz w:val="16"/>
              </w:rPr>
              <w:t>Remote / hard-to-reach populations</w:t>
            </w:r>
          </w:p>
        </w:tc>
        <w:tc>
          <w:tcPr>
            <w:tcW w:type="dxa" w:w="4392"/>
            <w:vAlign w:val="center"/>
          </w:tcPr>
          <w:p>
            <w:pPr>
              <w:spacing w:after="0"/>
            </w:pPr>
            <w:r/>
            <w:r>
              <w:rPr>
                <w:rFonts w:ascii="Aptos" w:hAnsi="Aptos"/>
                <w:b w:val="0"/>
                <w:color w:val="232323"/>
                <w:sz w:val="16"/>
              </w:rPr>
              <w:t>Tele-MANAS explicitly aims to reach vulnerable, difficult-to-reach populations and provides links to in-person care. [4][5]</w:t>
            </w:r>
          </w:p>
        </w:tc>
        <w:tc>
          <w:tcPr>
            <w:tcW w:type="dxa" w:w="4176"/>
            <w:vAlign w:val="center"/>
          </w:tcPr>
          <w:p>
            <w:pPr>
              <w:spacing w:after="0"/>
            </w:pPr>
            <w:r/>
            <w:r>
              <w:rPr>
                <w:rFonts w:ascii="Aptos" w:hAnsi="Aptos"/>
                <w:b w:val="0"/>
                <w:color w:val="232323"/>
                <w:sz w:val="16"/>
              </w:rPr>
              <w:t>Add regional practitioner discovery and escalation/referral pathways.</w:t>
            </w:r>
          </w:p>
        </w:tc>
      </w:tr>
      <w:tr>
        <w:tc>
          <w:tcPr>
            <w:tcW w:type="dxa" w:w="2088"/>
            <w:vAlign w:val="center"/>
            <w:shd w:fill="F5F8FB"/>
          </w:tcPr>
          <w:p>
            <w:pPr>
              <w:spacing w:after="0"/>
            </w:pPr>
            <w:r/>
            <w:r>
              <w:rPr>
                <w:rFonts w:ascii="Aptos" w:hAnsi="Aptos"/>
                <w:b w:val="0"/>
                <w:color w:val="232323"/>
                <w:sz w:val="16"/>
              </w:rPr>
              <w:t>Delayed OCD presentation</w:t>
            </w:r>
          </w:p>
        </w:tc>
        <w:tc>
          <w:tcPr>
            <w:tcW w:type="dxa" w:w="4392"/>
            <w:vAlign w:val="center"/>
            <w:shd w:fill="F5F8FB"/>
          </w:tcPr>
          <w:p>
            <w:pPr>
              <w:spacing w:after="0"/>
            </w:pPr>
            <w:r/>
            <w:r>
              <w:rPr>
                <w:rFonts w:ascii="Aptos" w:hAnsi="Aptos"/>
                <w:b w:val="0"/>
                <w:color w:val="232323"/>
                <w:sz w:val="16"/>
              </w:rPr>
              <w:t>NIMHANS OCD clinic series reported 8.21-year mean illness duration at presentation. [7]</w:t>
            </w:r>
          </w:p>
        </w:tc>
        <w:tc>
          <w:tcPr>
            <w:tcW w:type="dxa" w:w="4176"/>
            <w:vAlign w:val="center"/>
            <w:shd w:fill="F5F8FB"/>
          </w:tcPr>
          <w:p>
            <w:pPr>
              <w:spacing w:after="0"/>
            </w:pPr>
            <w:r/>
            <w:r>
              <w:rPr>
                <w:rFonts w:ascii="Aptos" w:hAnsi="Aptos"/>
                <w:b w:val="0"/>
                <w:color w:val="232323"/>
                <w:sz w:val="16"/>
              </w:rPr>
              <w:t>Create a low-barrier education + tracking + referral entry point.</w:t>
            </w:r>
          </w:p>
        </w:tc>
      </w:tr>
      <w:tr>
        <w:tc>
          <w:tcPr>
            <w:tcW w:type="dxa" w:w="2088"/>
            <w:vAlign w:val="center"/>
          </w:tcPr>
          <w:p>
            <w:pPr>
              <w:spacing w:after="0"/>
            </w:pPr>
            <w:r/>
            <w:r>
              <w:rPr>
                <w:rFonts w:ascii="Aptos" w:hAnsi="Aptos"/>
                <w:b w:val="0"/>
                <w:color w:val="232323"/>
                <w:sz w:val="16"/>
              </w:rPr>
              <w:t>Need for evidence-informed OCD support</w:t>
            </w:r>
          </w:p>
        </w:tc>
        <w:tc>
          <w:tcPr>
            <w:tcW w:type="dxa" w:w="4392"/>
            <w:vAlign w:val="center"/>
          </w:tcPr>
          <w:p>
            <w:pPr>
              <w:spacing w:after="0"/>
            </w:pPr>
            <w:r/>
            <w:r>
              <w:rPr>
                <w:rFonts w:ascii="Aptos" w:hAnsi="Aptos"/>
                <w:b w:val="0"/>
                <w:color w:val="232323"/>
                <w:sz w:val="16"/>
              </w:rPr>
              <w:t>NICE recommends stepped-care approaches including CBT/ERP; WHO guidance describes ERP as a structured treatment for OCD. [8][9]</w:t>
            </w:r>
          </w:p>
        </w:tc>
        <w:tc>
          <w:tcPr>
            <w:tcW w:type="dxa" w:w="4176"/>
            <w:vAlign w:val="center"/>
          </w:tcPr>
          <w:p>
            <w:pPr>
              <w:spacing w:after="0"/>
            </w:pPr>
            <w:r/>
            <w:r>
              <w:rPr>
                <w:rFonts w:ascii="Aptos" w:hAnsi="Aptos"/>
                <w:b w:val="0"/>
                <w:color w:val="232323"/>
                <w:sz w:val="16"/>
              </w:rPr>
              <w:t>Center MVP around education, structured tracking and practitioner-guided ERP support.</w:t>
            </w:r>
          </w:p>
        </w:tc>
      </w:tr>
      <w:tr>
        <w:tc>
          <w:tcPr>
            <w:tcW w:type="dxa" w:w="2088"/>
            <w:vAlign w:val="center"/>
            <w:shd w:fill="F5F8FB"/>
          </w:tcPr>
          <w:p>
            <w:pPr>
              <w:spacing w:after="0"/>
            </w:pPr>
            <w:r/>
            <w:r>
              <w:rPr>
                <w:rFonts w:ascii="Aptos" w:hAnsi="Aptos"/>
                <w:b w:val="0"/>
                <w:color w:val="232323"/>
                <w:sz w:val="16"/>
              </w:rPr>
              <w:t>Need for privacy-aware digital care</w:t>
            </w:r>
          </w:p>
        </w:tc>
        <w:tc>
          <w:tcPr>
            <w:tcW w:type="dxa" w:w="4392"/>
            <w:vAlign w:val="center"/>
            <w:shd w:fill="F5F8FB"/>
          </w:tcPr>
          <w:p>
            <w:pPr>
              <w:spacing w:after="0"/>
            </w:pPr>
            <w:r/>
            <w:r>
              <w:rPr>
                <w:rFonts w:ascii="Aptos" w:hAnsi="Aptos"/>
                <w:b w:val="0"/>
                <w:color w:val="232323"/>
                <w:sz w:val="16"/>
              </w:rPr>
              <w:t>DPDP Act requires consent to be free, specific, informed, unconditional and unambiguous, with withdrawal rights; Rules 2025 establish additional notice and security expectations with phased commencement. [10][11]</w:t>
            </w:r>
          </w:p>
        </w:tc>
        <w:tc>
          <w:tcPr>
            <w:tcW w:type="dxa" w:w="4176"/>
            <w:vAlign w:val="center"/>
            <w:shd w:fill="F5F8FB"/>
          </w:tcPr>
          <w:p>
            <w:pPr>
              <w:spacing w:after="0"/>
            </w:pPr>
            <w:r/>
            <w:r>
              <w:rPr>
                <w:rFonts w:ascii="Aptos" w:hAnsi="Aptos"/>
                <w:b w:val="0"/>
                <w:color w:val="232323"/>
                <w:sz w:val="16"/>
              </w:rPr>
              <w:t>Build consent, minimization, access control, auditability and deletion/retention design into the architecture.</w:t>
            </w:r>
          </w:p>
        </w:tc>
      </w:tr>
    </w:tbl>
    <w:p/>
    <w:p>
      <w:pPr>
        <w:pStyle w:val="Heading2"/>
      </w:pPr>
      <w:r>
        <w:t>2.1 Precise problem statement for the pitch</w:t>
      </w:r>
    </w:p>
    <w:p>
      <w:r>
        <w:t>People experiencing OCD symptoms or related distress can face friction at several points: recognizing that their experience may warrant help; finding trustworthy information; practicing evidence-informed strategies consistently outside appointments; knowing when self-guided support is insufficient; and finding an appropriately qualified professional. Existing public services such as Tele-MANAS address important counselling and escalation needs, but there remains room for a focused continuity layer that structures day-to-day behavioral tracking and consented professional review.</w:t>
      </w:r>
    </w:p>
    <w:p>
      <w:pPr>
        <w:pStyle w:val="Heading2"/>
      </w:pPr>
      <w:r>
        <w:t>2.2 Claims that should NOT be made in the pitch</w:t>
      </w:r>
    </w:p>
    <w:p>
      <w:pPr>
        <w:pStyle w:val="ListBullet"/>
        <w:spacing w:after="40"/>
      </w:pPr>
      <w:r>
        <w:t>Do not claim that doomscrolling, social-media use or reduced social interaction causes OCD or depression unless a specific causal study is cited.</w:t>
      </w:r>
    </w:p>
    <w:p>
      <w:pPr>
        <w:pStyle w:val="ListBullet"/>
        <w:spacing w:after="40"/>
      </w:pPr>
      <w:r>
        <w:t>Do not claim that the platform can diagnose OCD, predict suicide, or determine whether someone needs medication.</w:t>
      </w:r>
    </w:p>
    <w:p>
      <w:pPr>
        <w:pStyle w:val="ListBullet"/>
        <w:spacing w:after="40"/>
      </w:pPr>
      <w:r>
        <w:t>Do not claim that app users represent the mental health of an Indian district or state; app data are self-selected unless designed as a representative public-health study.</w:t>
      </w:r>
    </w:p>
    <w:p>
      <w:pPr>
        <w:pStyle w:val="ListBullet"/>
        <w:spacing w:after="40"/>
      </w:pPr>
      <w:r>
        <w:t>Do not frame the platform as a replacement for Tele-MANAS, psychiatrists, psychologists or emergency services.</w:t>
      </w:r>
    </w:p>
    <w:p>
      <w:r>
        <w:br w:type="page"/>
      </w:r>
    </w:p>
    <w:p>
      <w:pPr>
        <w:pStyle w:val="Heading1"/>
      </w:pPr>
      <w:r>
        <w:t>3. Aim, Mission and Objectives</w:t>
      </w:r>
    </w:p>
    <w:p>
      <w:pPr>
        <w:pStyle w:val="Heading2"/>
      </w:pPr>
      <w:r>
        <w:t>3.1 Aim</w:t>
      </w:r>
    </w:p>
    <w:tbl>
      <w:tblPr>
        <w:tblStyle w:val="TableGrid"/>
        <w:tblW w:type="auto" w:w="0"/>
        <w:tblLook w:firstColumn="1" w:firstRow="1" w:lastColumn="0" w:lastRow="0" w:noHBand="0" w:noVBand="1" w:val="04A0"/>
      </w:tblPr>
      <w:tblGrid>
        <w:gridCol w:w="10080"/>
      </w:tblGrid>
      <w:tr>
        <w:trPr>
          <w:tblHeader w:val="true"/>
        </w:trPr>
        <w:tc>
          <w:tcPr>
            <w:tcW w:type="dxa" w:w="10080"/>
            <w:shd w:fill="E8F5F3"/>
          </w:tcPr>
          <w:p>
            <w:r/>
            <w:r>
              <w:rPr>
                <w:b/>
                <w:color w:val="1B2C4F"/>
                <w:sz w:val="20"/>
              </w:rPr>
              <w:t>AIM</w:t>
              <w:br/>
            </w:r>
            <w:r>
              <w:rPr>
                <w:color w:val="232323"/>
                <w:sz w:val="18"/>
              </w:rPr>
              <w:t>To build an accessible, privacy-conscious digital care-continuity platform that helps people manage OCD-related difficulties between professional interactions, while creating a safe pathway to verified mental-health professionals when self-guided support is insufficient.</w:t>
            </w:r>
          </w:p>
        </w:tc>
      </w:tr>
    </w:tbl>
    <w:p/>
    <w:p>
      <w:pPr>
        <w:pStyle w:val="Heading2"/>
      </w:pPr>
      <w:r>
        <w:t>3.2 Mission</w:t>
      </w:r>
    </w:p>
    <w:p>
      <w:r>
        <w:t>Reduce the friction between distress, structured self-management and appropriate professional support by putting the next useful step in front of the user without pretending that software can replace clinical judgment.</w:t>
      </w:r>
    </w:p>
    <w:p>
      <w:pPr>
        <w:pStyle w:val="Heading2"/>
      </w:pPr>
      <w:r>
        <w:t>3.3 Product objectives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88"/>
            <w:vAlign w:val="center"/>
            <w:shd w:fill="304F73"/>
          </w:tcPr>
          <w:p>
            <w:pPr>
              <w:spacing w:after="0"/>
            </w:pPr>
            <w:r/>
            <w:r>
              <w:rPr>
                <w:rFonts w:ascii="Aptos" w:hAnsi="Aptos"/>
                <w:b/>
                <w:color w:val="FFFFFF"/>
                <w:sz w:val="17"/>
              </w:rPr>
              <w:t>Objective</w:t>
            </w:r>
          </w:p>
        </w:tc>
        <w:tc>
          <w:tcPr>
            <w:tcW w:type="dxa" w:w="8568"/>
            <w:vAlign w:val="center"/>
            <w:shd w:fill="304F73"/>
          </w:tcPr>
          <w:p>
            <w:pPr>
              <w:spacing w:after="0"/>
            </w:pPr>
            <w:r/>
            <w:r>
              <w:rPr>
                <w:rFonts w:ascii="Aptos" w:hAnsi="Aptos"/>
                <w:b/>
                <w:color w:val="FFFFFF"/>
                <w:sz w:val="17"/>
              </w:rPr>
              <w:t>What success means</w:t>
            </w:r>
          </w:p>
        </w:tc>
      </w:tr>
      <w:tr>
        <w:tc>
          <w:tcPr>
            <w:tcW w:type="dxa" w:w="2088"/>
            <w:vAlign w:val="center"/>
          </w:tcPr>
          <w:p>
            <w:pPr>
              <w:spacing w:after="0"/>
            </w:pPr>
            <w:r/>
            <w:r>
              <w:rPr>
                <w:rFonts w:ascii="Aptos" w:hAnsi="Aptos"/>
                <w:b w:val="0"/>
                <w:color w:val="232323"/>
                <w:sz w:val="17"/>
              </w:rPr>
              <w:t>Accessibility</w:t>
            </w:r>
          </w:p>
        </w:tc>
        <w:tc>
          <w:tcPr>
            <w:tcW w:type="dxa" w:w="8568"/>
            <w:vAlign w:val="center"/>
          </w:tcPr>
          <w:p>
            <w:pPr>
              <w:spacing w:after="0"/>
            </w:pPr>
            <w:r/>
            <w:r>
              <w:rPr>
                <w:rFonts w:ascii="Aptos" w:hAnsi="Aptos"/>
                <w:b w:val="0"/>
                <w:color w:val="232323"/>
                <w:sz w:val="17"/>
              </w:rPr>
              <w:t>Provide a free or low-cost first layer of evidence-informed OCD education and structured tracking.</w:t>
            </w:r>
          </w:p>
        </w:tc>
      </w:tr>
      <w:tr>
        <w:tc>
          <w:tcPr>
            <w:tcW w:type="dxa" w:w="2088"/>
            <w:vAlign w:val="center"/>
            <w:shd w:fill="F5F8FB"/>
          </w:tcPr>
          <w:p>
            <w:pPr>
              <w:spacing w:after="0"/>
            </w:pPr>
            <w:r/>
            <w:r>
              <w:rPr>
                <w:rFonts w:ascii="Aptos" w:hAnsi="Aptos"/>
                <w:b w:val="0"/>
                <w:color w:val="232323"/>
                <w:sz w:val="17"/>
              </w:rPr>
              <w:t>Continuity of care</w:t>
            </w:r>
          </w:p>
        </w:tc>
        <w:tc>
          <w:tcPr>
            <w:tcW w:type="dxa" w:w="8568"/>
            <w:vAlign w:val="center"/>
            <w:shd w:fill="F5F8FB"/>
          </w:tcPr>
          <w:p>
            <w:pPr>
              <w:spacing w:after="0"/>
            </w:pPr>
            <w:r/>
            <w:r>
              <w:rPr>
                <w:rFonts w:ascii="Aptos" w:hAnsi="Aptos"/>
                <w:b w:val="0"/>
                <w:color w:val="232323"/>
                <w:sz w:val="17"/>
              </w:rPr>
              <w:t>Give users a place to maintain behavioral progress logs between professional interactions.</w:t>
            </w:r>
          </w:p>
        </w:tc>
      </w:tr>
      <w:tr>
        <w:tc>
          <w:tcPr>
            <w:tcW w:type="dxa" w:w="2088"/>
            <w:vAlign w:val="center"/>
          </w:tcPr>
          <w:p>
            <w:pPr>
              <w:spacing w:after="0"/>
            </w:pPr>
            <w:r/>
            <w:r>
              <w:rPr>
                <w:rFonts w:ascii="Aptos" w:hAnsi="Aptos"/>
                <w:b w:val="0"/>
                <w:color w:val="232323"/>
                <w:sz w:val="17"/>
              </w:rPr>
              <w:t>Early navigation</w:t>
            </w:r>
          </w:p>
        </w:tc>
        <w:tc>
          <w:tcPr>
            <w:tcW w:type="dxa" w:w="8568"/>
            <w:vAlign w:val="center"/>
          </w:tcPr>
          <w:p>
            <w:pPr>
              <w:spacing w:after="0"/>
            </w:pPr>
            <w:r/>
            <w:r>
              <w:rPr>
                <w:rFonts w:ascii="Aptos" w:hAnsi="Aptos"/>
                <w:b w:val="0"/>
                <w:color w:val="232323"/>
                <w:sz w:val="17"/>
              </w:rPr>
              <w:t>Help a person understand available support pathways without diagnosing them.</w:t>
            </w:r>
          </w:p>
        </w:tc>
      </w:tr>
      <w:tr>
        <w:tc>
          <w:tcPr>
            <w:tcW w:type="dxa" w:w="2088"/>
            <w:vAlign w:val="center"/>
            <w:shd w:fill="F5F8FB"/>
          </w:tcPr>
          <w:p>
            <w:pPr>
              <w:spacing w:after="0"/>
            </w:pPr>
            <w:r/>
            <w:r>
              <w:rPr>
                <w:rFonts w:ascii="Aptos" w:hAnsi="Aptos"/>
                <w:b w:val="0"/>
                <w:color w:val="232323"/>
                <w:sz w:val="17"/>
              </w:rPr>
              <w:t>Professional escalation</w:t>
            </w:r>
          </w:p>
        </w:tc>
        <w:tc>
          <w:tcPr>
            <w:tcW w:type="dxa" w:w="8568"/>
            <w:vAlign w:val="center"/>
            <w:shd w:fill="F5F8FB"/>
          </w:tcPr>
          <w:p>
            <w:pPr>
              <w:spacing w:after="0"/>
            </w:pPr>
            <w:r/>
            <w:r>
              <w:rPr>
                <w:rFonts w:ascii="Aptos" w:hAnsi="Aptos"/>
                <w:b w:val="0"/>
                <w:color w:val="232323"/>
                <w:sz w:val="17"/>
              </w:rPr>
              <w:t>Enable a verified practitioner to review consented reports and recommend further evaluation/referral when appropriate.</w:t>
            </w:r>
          </w:p>
        </w:tc>
      </w:tr>
      <w:tr>
        <w:tc>
          <w:tcPr>
            <w:tcW w:type="dxa" w:w="2088"/>
            <w:vAlign w:val="center"/>
          </w:tcPr>
          <w:p>
            <w:pPr>
              <w:spacing w:after="0"/>
            </w:pPr>
            <w:r/>
            <w:r>
              <w:rPr>
                <w:rFonts w:ascii="Aptos" w:hAnsi="Aptos"/>
                <w:b w:val="0"/>
                <w:color w:val="232323"/>
                <w:sz w:val="17"/>
              </w:rPr>
              <w:t>AI with boundaries</w:t>
            </w:r>
          </w:p>
        </w:tc>
        <w:tc>
          <w:tcPr>
            <w:tcW w:type="dxa" w:w="8568"/>
            <w:vAlign w:val="center"/>
          </w:tcPr>
          <w:p>
            <w:pPr>
              <w:spacing w:after="0"/>
            </w:pPr>
            <w:r/>
            <w:r>
              <w:rPr>
                <w:rFonts w:ascii="Aptos" w:hAnsi="Aptos"/>
                <w:b w:val="0"/>
                <w:color w:val="232323"/>
                <w:sz w:val="17"/>
              </w:rPr>
              <w:t>Use AI to summarize patterns and organize information rather than make diagnoses or treatment decisions.</w:t>
            </w:r>
          </w:p>
        </w:tc>
      </w:tr>
      <w:tr>
        <w:tc>
          <w:tcPr>
            <w:tcW w:type="dxa" w:w="2088"/>
            <w:vAlign w:val="center"/>
            <w:shd w:fill="F5F8FB"/>
          </w:tcPr>
          <w:p>
            <w:pPr>
              <w:spacing w:after="0"/>
            </w:pPr>
            <w:r/>
            <w:r>
              <w:rPr>
                <w:rFonts w:ascii="Aptos" w:hAnsi="Aptos"/>
                <w:b w:val="0"/>
                <w:color w:val="232323"/>
                <w:sz w:val="17"/>
              </w:rPr>
              <w:t>Privacy by design</w:t>
            </w:r>
          </w:p>
        </w:tc>
        <w:tc>
          <w:tcPr>
            <w:tcW w:type="dxa" w:w="8568"/>
            <w:vAlign w:val="center"/>
            <w:shd w:fill="F5F8FB"/>
          </w:tcPr>
          <w:p>
            <w:pPr>
              <w:spacing w:after="0"/>
            </w:pPr>
            <w:r/>
            <w:r>
              <w:rPr>
                <w:rFonts w:ascii="Aptos" w:hAnsi="Aptos"/>
                <w:b w:val="0"/>
                <w:color w:val="232323"/>
                <w:sz w:val="17"/>
              </w:rPr>
              <w:t>Collect the minimum necessary data, use explicit consent, role-based access and transparent data-use controls.</w:t>
            </w:r>
          </w:p>
        </w:tc>
      </w:tr>
      <w:tr>
        <w:tc>
          <w:tcPr>
            <w:tcW w:type="dxa" w:w="2088"/>
            <w:vAlign w:val="center"/>
          </w:tcPr>
          <w:p>
            <w:pPr>
              <w:spacing w:after="0"/>
            </w:pPr>
            <w:r/>
            <w:r>
              <w:rPr>
                <w:rFonts w:ascii="Aptos" w:hAnsi="Aptos"/>
                <w:b w:val="0"/>
                <w:color w:val="232323"/>
                <w:sz w:val="17"/>
              </w:rPr>
              <w:t>Public-health learning</w:t>
            </w:r>
          </w:p>
        </w:tc>
        <w:tc>
          <w:tcPr>
            <w:tcW w:type="dxa" w:w="8568"/>
            <w:vAlign w:val="center"/>
          </w:tcPr>
          <w:p>
            <w:pPr>
              <w:spacing w:after="0"/>
            </w:pPr>
            <w:r/>
            <w:r>
              <w:rPr>
                <w:rFonts w:ascii="Aptos" w:hAnsi="Aptos"/>
                <w:b w:val="0"/>
                <w:color w:val="232323"/>
                <w:sz w:val="17"/>
              </w:rPr>
              <w:t>Create an optional future layer of aggregated, de-identified trend reporting without treating platform users as a representative population.</w:t>
            </w:r>
          </w:p>
        </w:tc>
      </w:tr>
      <w:tr>
        <w:tc>
          <w:tcPr>
            <w:tcW w:type="dxa" w:w="2088"/>
            <w:vAlign w:val="center"/>
            <w:shd w:fill="F5F8FB"/>
          </w:tcPr>
          <w:p>
            <w:pPr>
              <w:spacing w:after="0"/>
            </w:pPr>
            <w:r/>
            <w:r>
              <w:rPr>
                <w:rFonts w:ascii="Aptos" w:hAnsi="Aptos"/>
                <w:b w:val="0"/>
                <w:color w:val="232323"/>
                <w:sz w:val="17"/>
              </w:rPr>
              <w:t>Technical learning</w:t>
            </w:r>
          </w:p>
        </w:tc>
        <w:tc>
          <w:tcPr>
            <w:tcW w:type="dxa" w:w="8568"/>
            <w:vAlign w:val="center"/>
            <w:shd w:fill="F5F8FB"/>
          </w:tcPr>
          <w:p>
            <w:pPr>
              <w:spacing w:after="0"/>
            </w:pPr>
            <w:r/>
            <w:r>
              <w:rPr>
                <w:rFonts w:ascii="Aptos" w:hAnsi="Aptos"/>
                <w:b w:val="0"/>
                <w:color w:val="232323"/>
                <w:sz w:val="17"/>
              </w:rPr>
              <w:t>Demonstrate a real AWS deployment and show responsible architecture decisions, matching the hackathon's Ship It goals. [1][2]</w:t>
            </w:r>
          </w:p>
        </w:tc>
      </w:tr>
    </w:tbl>
    <w:p/>
    <w:p>
      <w:pPr>
        <w:pStyle w:val="Heading1"/>
      </w:pPr>
      <w:r>
        <w:t>4. Target Users and Stakeholders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88"/>
            <w:vAlign w:val="center"/>
            <w:shd w:fill="304F73"/>
          </w:tcPr>
          <w:p>
            <w:pPr>
              <w:spacing w:after="0"/>
            </w:pPr>
            <w:r/>
            <w:r>
              <w:rPr>
                <w:rFonts w:ascii="Aptos" w:hAnsi="Aptos"/>
                <w:b/>
                <w:color w:val="FFFFFF"/>
                <w:sz w:val="16"/>
              </w:rPr>
              <w:t>Actor</w:t>
            </w:r>
          </w:p>
        </w:tc>
        <w:tc>
          <w:tcPr>
            <w:tcW w:type="dxa" w:w="3456"/>
            <w:vAlign w:val="center"/>
            <w:shd w:fill="304F73"/>
          </w:tcPr>
          <w:p>
            <w:pPr>
              <w:spacing w:after="0"/>
            </w:pPr>
            <w:r/>
            <w:r>
              <w:rPr>
                <w:rFonts w:ascii="Aptos" w:hAnsi="Aptos"/>
                <w:b/>
                <w:color w:val="FFFFFF"/>
                <w:sz w:val="16"/>
              </w:rPr>
              <w:t>Primary need</w:t>
            </w:r>
          </w:p>
        </w:tc>
        <w:tc>
          <w:tcPr>
            <w:tcW w:type="dxa" w:w="5112"/>
            <w:vAlign w:val="center"/>
            <w:shd w:fill="304F73"/>
          </w:tcPr>
          <w:p>
            <w:pPr>
              <w:spacing w:after="0"/>
            </w:pPr>
            <w:r/>
            <w:r>
              <w:rPr>
                <w:rFonts w:ascii="Aptos" w:hAnsi="Aptos"/>
                <w:b/>
                <w:color w:val="FFFFFF"/>
                <w:sz w:val="16"/>
              </w:rPr>
              <w:t>What they can do</w:t>
            </w:r>
          </w:p>
        </w:tc>
      </w:tr>
      <w:tr>
        <w:tc>
          <w:tcPr>
            <w:tcW w:type="dxa" w:w="2088"/>
            <w:vAlign w:val="center"/>
          </w:tcPr>
          <w:p>
            <w:pPr>
              <w:spacing w:after="0"/>
            </w:pPr>
            <w:r/>
            <w:r>
              <w:rPr>
                <w:rFonts w:ascii="Aptos" w:hAnsi="Aptos"/>
                <w:b w:val="0"/>
                <w:color w:val="232323"/>
                <w:sz w:val="16"/>
              </w:rPr>
              <w:t>User / seeker</w:t>
            </w:r>
          </w:p>
        </w:tc>
        <w:tc>
          <w:tcPr>
            <w:tcW w:type="dxa" w:w="3456"/>
            <w:vAlign w:val="center"/>
          </w:tcPr>
          <w:p>
            <w:pPr>
              <w:spacing w:after="0"/>
            </w:pPr>
            <w:r/>
            <w:r>
              <w:rPr>
                <w:rFonts w:ascii="Aptos" w:hAnsi="Aptos"/>
                <w:b w:val="0"/>
                <w:color w:val="232323"/>
                <w:sz w:val="16"/>
              </w:rPr>
              <w:t>Low-friction information, tracking, structured next steps</w:t>
            </w:r>
          </w:p>
        </w:tc>
        <w:tc>
          <w:tcPr>
            <w:tcW w:type="dxa" w:w="5112"/>
            <w:vAlign w:val="center"/>
          </w:tcPr>
          <w:p>
            <w:pPr>
              <w:spacing w:after="0"/>
            </w:pPr>
            <w:r/>
            <w:r>
              <w:rPr>
                <w:rFonts w:ascii="Aptos" w:hAnsi="Aptos"/>
                <w:b w:val="0"/>
                <w:color w:val="232323"/>
                <w:sz w:val="16"/>
              </w:rPr>
              <w:t>Learn, self-screen with disclaimers, log experiences, track ERP practice, view patterns, seek practitioner connection</w:t>
            </w:r>
          </w:p>
        </w:tc>
      </w:tr>
      <w:tr>
        <w:tc>
          <w:tcPr>
            <w:tcW w:type="dxa" w:w="2088"/>
            <w:vAlign w:val="center"/>
            <w:shd w:fill="F5F8FB"/>
          </w:tcPr>
          <w:p>
            <w:pPr>
              <w:spacing w:after="0"/>
            </w:pPr>
            <w:r/>
            <w:r>
              <w:rPr>
                <w:rFonts w:ascii="Aptos" w:hAnsi="Aptos"/>
                <w:b w:val="0"/>
                <w:color w:val="232323"/>
                <w:sz w:val="16"/>
              </w:rPr>
              <w:t>Clinical psychologist / ERP-capable professional</w:t>
            </w:r>
          </w:p>
        </w:tc>
        <w:tc>
          <w:tcPr>
            <w:tcW w:type="dxa" w:w="3456"/>
            <w:vAlign w:val="center"/>
            <w:shd w:fill="F5F8FB"/>
          </w:tcPr>
          <w:p>
            <w:pPr>
              <w:spacing w:after="0"/>
            </w:pPr>
            <w:r/>
            <w:r>
              <w:rPr>
                <w:rFonts w:ascii="Aptos" w:hAnsi="Aptos"/>
                <w:b w:val="0"/>
                <w:color w:val="232323"/>
                <w:sz w:val="16"/>
              </w:rPr>
              <w:t>Better structured information between sessions</w:t>
            </w:r>
          </w:p>
        </w:tc>
        <w:tc>
          <w:tcPr>
            <w:tcW w:type="dxa" w:w="5112"/>
            <w:vAlign w:val="center"/>
            <w:shd w:fill="F5F8FB"/>
          </w:tcPr>
          <w:p>
            <w:pPr>
              <w:spacing w:after="0"/>
            </w:pPr>
            <w:r/>
            <w:r>
              <w:rPr>
                <w:rFonts w:ascii="Aptos" w:hAnsi="Aptos"/>
                <w:b w:val="0"/>
                <w:color w:val="232323"/>
                <w:sz w:val="16"/>
              </w:rPr>
              <w:t>Verify identity/registration, accept connections, review consented summaries, provide guidance within scope, recommend referral/escalation</w:t>
            </w:r>
          </w:p>
        </w:tc>
      </w:tr>
      <w:tr>
        <w:tc>
          <w:tcPr>
            <w:tcW w:type="dxa" w:w="2088"/>
            <w:vAlign w:val="center"/>
          </w:tcPr>
          <w:p>
            <w:pPr>
              <w:spacing w:after="0"/>
            </w:pPr>
            <w:r/>
            <w:r>
              <w:rPr>
                <w:rFonts w:ascii="Aptos" w:hAnsi="Aptos"/>
                <w:b w:val="0"/>
                <w:color w:val="232323"/>
                <w:sz w:val="16"/>
              </w:rPr>
              <w:t>Psychiatrist / RMP</w:t>
            </w:r>
          </w:p>
        </w:tc>
        <w:tc>
          <w:tcPr>
            <w:tcW w:type="dxa" w:w="3456"/>
            <w:vAlign w:val="center"/>
          </w:tcPr>
          <w:p>
            <w:pPr>
              <w:spacing w:after="0"/>
            </w:pPr>
            <w:r/>
            <w:r>
              <w:rPr>
                <w:rFonts w:ascii="Aptos" w:hAnsi="Aptos"/>
                <w:b w:val="0"/>
                <w:color w:val="232323"/>
                <w:sz w:val="16"/>
              </w:rPr>
              <w:t>Clinical context + referral continuity</w:t>
            </w:r>
          </w:p>
        </w:tc>
        <w:tc>
          <w:tcPr>
            <w:tcW w:type="dxa" w:w="5112"/>
            <w:vAlign w:val="center"/>
          </w:tcPr>
          <w:p>
            <w:pPr>
              <w:spacing w:after="0"/>
            </w:pPr>
            <w:r/>
            <w:r>
              <w:rPr>
                <w:rFonts w:ascii="Aptos" w:hAnsi="Aptos"/>
                <w:b w:val="0"/>
                <w:color w:val="232323"/>
                <w:sz w:val="16"/>
              </w:rPr>
              <w:t>Review user-authorized records, advise on evaluation/referral, provide telemedicine where legally/clinically appropriate</w:t>
            </w:r>
          </w:p>
        </w:tc>
      </w:tr>
      <w:tr>
        <w:tc>
          <w:tcPr>
            <w:tcW w:type="dxa" w:w="2088"/>
            <w:vAlign w:val="center"/>
            <w:shd w:fill="F5F8FB"/>
          </w:tcPr>
          <w:p>
            <w:pPr>
              <w:spacing w:after="0"/>
            </w:pPr>
            <w:r/>
            <w:r>
              <w:rPr>
                <w:rFonts w:ascii="Aptos" w:hAnsi="Aptos"/>
                <w:b w:val="0"/>
                <w:color w:val="232323"/>
                <w:sz w:val="16"/>
              </w:rPr>
              <w:t>Moderator / safety admin</w:t>
            </w:r>
          </w:p>
        </w:tc>
        <w:tc>
          <w:tcPr>
            <w:tcW w:type="dxa" w:w="3456"/>
            <w:vAlign w:val="center"/>
            <w:shd w:fill="F5F8FB"/>
          </w:tcPr>
          <w:p>
            <w:pPr>
              <w:spacing w:after="0"/>
            </w:pPr>
            <w:r/>
            <w:r>
              <w:rPr>
                <w:rFonts w:ascii="Aptos" w:hAnsi="Aptos"/>
                <w:b w:val="0"/>
                <w:color w:val="232323"/>
                <w:sz w:val="16"/>
              </w:rPr>
              <w:t>Platform safety</w:t>
            </w:r>
          </w:p>
        </w:tc>
        <w:tc>
          <w:tcPr>
            <w:tcW w:type="dxa" w:w="5112"/>
            <w:vAlign w:val="center"/>
            <w:shd w:fill="F5F8FB"/>
          </w:tcPr>
          <w:p>
            <w:pPr>
              <w:spacing w:after="0"/>
            </w:pPr>
            <w:r/>
            <w:r>
              <w:rPr>
                <w:rFonts w:ascii="Aptos" w:hAnsi="Aptos"/>
                <w:b w:val="0"/>
                <w:color w:val="232323"/>
                <w:sz w:val="16"/>
              </w:rPr>
              <w:t>Handle reports, professional verification workflow, content moderation and crisis-resource maintenance</w:t>
            </w:r>
          </w:p>
        </w:tc>
      </w:tr>
      <w:tr>
        <w:tc>
          <w:tcPr>
            <w:tcW w:type="dxa" w:w="2088"/>
            <w:vAlign w:val="center"/>
          </w:tcPr>
          <w:p>
            <w:pPr>
              <w:spacing w:after="0"/>
            </w:pPr>
            <w:r/>
            <w:r>
              <w:rPr>
                <w:rFonts w:ascii="Aptos" w:hAnsi="Aptos"/>
                <w:b w:val="0"/>
                <w:color w:val="232323"/>
                <w:sz w:val="16"/>
              </w:rPr>
              <w:t>Institution / college / employer</w:t>
            </w:r>
          </w:p>
        </w:tc>
        <w:tc>
          <w:tcPr>
            <w:tcW w:type="dxa" w:w="3456"/>
            <w:vAlign w:val="center"/>
          </w:tcPr>
          <w:p>
            <w:pPr>
              <w:spacing w:after="0"/>
            </w:pPr>
            <w:r/>
            <w:r>
              <w:rPr>
                <w:rFonts w:ascii="Aptos" w:hAnsi="Aptos"/>
                <w:b w:val="0"/>
                <w:color w:val="232323"/>
                <w:sz w:val="16"/>
              </w:rPr>
              <w:t>Population-level well-being support</w:t>
            </w:r>
          </w:p>
        </w:tc>
        <w:tc>
          <w:tcPr>
            <w:tcW w:type="dxa" w:w="5112"/>
            <w:vAlign w:val="center"/>
          </w:tcPr>
          <w:p>
            <w:pPr>
              <w:spacing w:after="0"/>
            </w:pPr>
            <w:r/>
            <w:r>
              <w:rPr>
                <w:rFonts w:ascii="Aptos" w:hAnsi="Aptos"/>
                <w:b w:val="0"/>
                <w:color w:val="232323"/>
                <w:sz w:val="16"/>
              </w:rPr>
              <w:t>Potentially sponsor access and see only agreed, aggregated program-level metrics</w:t>
            </w:r>
          </w:p>
        </w:tc>
      </w:tr>
      <w:tr>
        <w:tc>
          <w:tcPr>
            <w:tcW w:type="dxa" w:w="2088"/>
            <w:vAlign w:val="center"/>
            <w:shd w:fill="F5F8FB"/>
          </w:tcPr>
          <w:p>
            <w:pPr>
              <w:spacing w:after="0"/>
            </w:pPr>
            <w:r/>
            <w:r>
              <w:rPr>
                <w:rFonts w:ascii="Aptos" w:hAnsi="Aptos"/>
                <w:b w:val="0"/>
                <w:color w:val="232323"/>
                <w:sz w:val="16"/>
              </w:rPr>
              <w:t>Public-health / research partner</w:t>
            </w:r>
          </w:p>
        </w:tc>
        <w:tc>
          <w:tcPr>
            <w:tcW w:type="dxa" w:w="3456"/>
            <w:vAlign w:val="center"/>
            <w:shd w:fill="F5F8FB"/>
          </w:tcPr>
          <w:p>
            <w:pPr>
              <w:spacing w:after="0"/>
            </w:pPr>
            <w:r/>
            <w:r>
              <w:rPr>
                <w:rFonts w:ascii="Aptos" w:hAnsi="Aptos"/>
                <w:b w:val="0"/>
                <w:color w:val="232323"/>
                <w:sz w:val="16"/>
              </w:rPr>
              <w:t>Planning and research</w:t>
            </w:r>
          </w:p>
        </w:tc>
        <w:tc>
          <w:tcPr>
            <w:tcW w:type="dxa" w:w="5112"/>
            <w:vAlign w:val="center"/>
            <w:shd w:fill="F5F8FB"/>
          </w:tcPr>
          <w:p>
            <w:pPr>
              <w:spacing w:after="0"/>
            </w:pPr>
            <w:r/>
            <w:r>
              <w:rPr>
                <w:rFonts w:ascii="Aptos" w:hAnsi="Aptos"/>
                <w:b w:val="0"/>
                <w:color w:val="232323"/>
                <w:sz w:val="16"/>
              </w:rPr>
              <w:t>Future opt-in access to de-identified aggregated trends under approved governance, not individual records</w:t>
            </w:r>
          </w:p>
        </w:tc>
      </w:tr>
    </w:tbl>
    <w:p/>
    <w:p>
      <w:pPr>
        <w:pStyle w:val="Heading2"/>
      </w:pPr>
      <w:r>
        <w:t>4.1 Recommended initial audience</w:t>
      </w:r>
    </w:p>
    <w:p>
      <w:r>
        <w:t>Primary wedge: young adults and college-age users who are comfortable using digital tools, especially those who have recognized OCD-like difficulties, are already in care, are waiting for care, or want to understand whether speaking with a professional is appropriate. This is a product-development focus, not a claim that OCD is limited to this age group.</w:t>
      </w:r>
    </w:p>
    <w:p>
      <w:pPr>
        <w:pStyle w:val="Heading1"/>
      </w:pPr>
      <w:r>
        <w:t>5. Core User Experience: What the User Can Actually Do</w:t>
      </w:r>
    </w:p>
    <w:p>
      <w:pPr>
        <w:pStyle w:val="Heading2"/>
      </w:pPr>
      <w:r>
        <w:t>5.1 Entry and onboarding</w:t>
      </w:r>
    </w:p>
    <w:p>
      <w:pPr>
        <w:pStyle w:val="ListBullet"/>
        <w:spacing w:after="40"/>
      </w:pPr>
      <w:r>
        <w:t>Create account or continue with privacy-preserving guest mode for general educational content.</w:t>
      </w:r>
    </w:p>
    <w:p>
      <w:pPr>
        <w:pStyle w:val="ListBullet"/>
        <w:spacing w:after="40"/>
      </w:pPr>
      <w:r>
        <w:t>Choose language and accessibility preferences.</w:t>
      </w:r>
    </w:p>
    <w:p>
      <w:pPr>
        <w:pStyle w:val="ListBullet"/>
        <w:spacing w:after="40"/>
      </w:pPr>
      <w:r>
        <w:t>Read a plain-language privacy notice describing data collected, why it is collected, what is optional, and how consent can be withdrawn.</w:t>
      </w:r>
    </w:p>
    <w:p>
      <w:pPr>
        <w:pStyle w:val="ListBullet"/>
        <w:spacing w:after="40"/>
      </w:pPr>
      <w:r>
        <w:t>Select a goal: learn about OCD, track patterns, practice structured behavioral exercises, prepare for a professional visit, or find professional support.</w:t>
      </w:r>
    </w:p>
    <w:p>
      <w:pPr>
        <w:pStyle w:val="ListBullet"/>
        <w:spacing w:after="40"/>
      </w:pPr>
      <w:r>
        <w:t>See a safety screen explaining that emergencies require appropriate emergency/public services and that the platform is not an emergency response service.</w:t>
      </w:r>
    </w:p>
    <w:p>
      <w:pPr>
        <w:pStyle w:val="Heading2"/>
      </w:pPr>
      <w:r>
        <w:t>5.2 Education hub</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vAlign w:val="center"/>
            <w:shd w:fill="304F73"/>
          </w:tcPr>
          <w:p>
            <w:pPr>
              <w:spacing w:after="0"/>
            </w:pPr>
            <w:r/>
            <w:r>
              <w:rPr>
                <w:rFonts w:ascii="Aptos" w:hAnsi="Aptos"/>
                <w:b/>
                <w:color w:val="FFFFFF"/>
                <w:sz w:val="16"/>
              </w:rPr>
              <w:t>Module</w:t>
            </w:r>
          </w:p>
        </w:tc>
        <w:tc>
          <w:tcPr>
            <w:tcW w:type="dxa" w:w="2952"/>
            <w:vAlign w:val="center"/>
            <w:shd w:fill="304F73"/>
          </w:tcPr>
          <w:p>
            <w:pPr>
              <w:spacing w:after="0"/>
            </w:pPr>
            <w:r/>
            <w:r>
              <w:rPr>
                <w:rFonts w:ascii="Aptos" w:hAnsi="Aptos"/>
                <w:b/>
                <w:color w:val="FFFFFF"/>
                <w:sz w:val="16"/>
              </w:rPr>
              <w:t>User action</w:t>
            </w:r>
          </w:p>
        </w:tc>
        <w:tc>
          <w:tcPr>
            <w:tcW w:type="dxa" w:w="5760"/>
            <w:vAlign w:val="center"/>
            <w:shd w:fill="304F73"/>
          </w:tcPr>
          <w:p>
            <w:pPr>
              <w:spacing w:after="0"/>
            </w:pPr>
            <w:r/>
            <w:r>
              <w:rPr>
                <w:rFonts w:ascii="Aptos" w:hAnsi="Aptos"/>
                <w:b/>
                <w:color w:val="FFFFFF"/>
                <w:sz w:val="16"/>
              </w:rPr>
              <w:t>Purpose</w:t>
            </w:r>
          </w:p>
        </w:tc>
      </w:tr>
      <w:tr>
        <w:tc>
          <w:tcPr>
            <w:tcW w:type="dxa" w:w="1944"/>
            <w:vAlign w:val="center"/>
          </w:tcPr>
          <w:p>
            <w:pPr>
              <w:spacing w:after="0"/>
            </w:pPr>
            <w:r/>
            <w:r>
              <w:rPr>
                <w:rFonts w:ascii="Aptos" w:hAnsi="Aptos"/>
                <w:b w:val="0"/>
                <w:color w:val="232323"/>
                <w:sz w:val="16"/>
              </w:rPr>
              <w:t>Understanding OCD</w:t>
            </w:r>
          </w:p>
        </w:tc>
        <w:tc>
          <w:tcPr>
            <w:tcW w:type="dxa" w:w="2952"/>
            <w:vAlign w:val="center"/>
          </w:tcPr>
          <w:p>
            <w:pPr>
              <w:spacing w:after="0"/>
            </w:pPr>
            <w:r/>
            <w:r>
              <w:rPr>
                <w:rFonts w:ascii="Aptos" w:hAnsi="Aptos"/>
                <w:b w:val="0"/>
                <w:color w:val="232323"/>
                <w:sz w:val="16"/>
              </w:rPr>
              <w:t>Read short lessons</w:t>
            </w:r>
          </w:p>
        </w:tc>
        <w:tc>
          <w:tcPr>
            <w:tcW w:type="dxa" w:w="5760"/>
            <w:vAlign w:val="center"/>
          </w:tcPr>
          <w:p>
            <w:pPr>
              <w:spacing w:after="0"/>
            </w:pPr>
            <w:r/>
            <w:r>
              <w:rPr>
                <w:rFonts w:ascii="Aptos" w:hAnsi="Aptos"/>
                <w:b w:val="0"/>
                <w:color w:val="232323"/>
                <w:sz w:val="16"/>
              </w:rPr>
              <w:t>Normalize help-seeking without normalizing impairment</w:t>
            </w:r>
          </w:p>
        </w:tc>
      </w:tr>
      <w:tr>
        <w:tc>
          <w:tcPr>
            <w:tcW w:type="dxa" w:w="1944"/>
            <w:vAlign w:val="center"/>
            <w:shd w:fill="F5F8FB"/>
          </w:tcPr>
          <w:p>
            <w:pPr>
              <w:spacing w:after="0"/>
            </w:pPr>
            <w:r/>
            <w:r>
              <w:rPr>
                <w:rFonts w:ascii="Aptos" w:hAnsi="Aptos"/>
                <w:b w:val="0"/>
                <w:color w:val="232323"/>
                <w:sz w:val="16"/>
              </w:rPr>
              <w:t>OCD cycle</w:t>
            </w:r>
          </w:p>
        </w:tc>
        <w:tc>
          <w:tcPr>
            <w:tcW w:type="dxa" w:w="2952"/>
            <w:vAlign w:val="center"/>
            <w:shd w:fill="F5F8FB"/>
          </w:tcPr>
          <w:p>
            <w:pPr>
              <w:spacing w:after="0"/>
            </w:pPr>
            <w:r/>
            <w:r>
              <w:rPr>
                <w:rFonts w:ascii="Aptos" w:hAnsi="Aptos"/>
                <w:b w:val="0"/>
                <w:color w:val="232323"/>
                <w:sz w:val="16"/>
              </w:rPr>
              <w:t>Interactive cycle diagram</w:t>
            </w:r>
          </w:p>
        </w:tc>
        <w:tc>
          <w:tcPr>
            <w:tcW w:type="dxa" w:w="5760"/>
            <w:vAlign w:val="center"/>
            <w:shd w:fill="F5F8FB"/>
          </w:tcPr>
          <w:p>
            <w:pPr>
              <w:spacing w:after="0"/>
            </w:pPr>
            <w:r/>
            <w:r>
              <w:rPr>
                <w:rFonts w:ascii="Aptos" w:hAnsi="Aptos"/>
                <w:b w:val="0"/>
                <w:color w:val="232323"/>
                <w:sz w:val="16"/>
              </w:rPr>
              <w:t>Explain obsession → distress → compulsion/avoidance/reassurance → short-term relief → maintenance</w:t>
            </w:r>
          </w:p>
        </w:tc>
      </w:tr>
      <w:tr>
        <w:tc>
          <w:tcPr>
            <w:tcW w:type="dxa" w:w="1944"/>
            <w:vAlign w:val="center"/>
          </w:tcPr>
          <w:p>
            <w:pPr>
              <w:spacing w:after="0"/>
            </w:pPr>
            <w:r/>
            <w:r>
              <w:rPr>
                <w:rFonts w:ascii="Aptos" w:hAnsi="Aptos"/>
                <w:b w:val="0"/>
                <w:color w:val="232323"/>
                <w:sz w:val="16"/>
              </w:rPr>
              <w:t>ERP basics</w:t>
            </w:r>
          </w:p>
        </w:tc>
        <w:tc>
          <w:tcPr>
            <w:tcW w:type="dxa" w:w="2952"/>
            <w:vAlign w:val="center"/>
          </w:tcPr>
          <w:p>
            <w:pPr>
              <w:spacing w:after="0"/>
            </w:pPr>
            <w:r/>
            <w:r>
              <w:rPr>
                <w:rFonts w:ascii="Aptos" w:hAnsi="Aptos"/>
                <w:b w:val="0"/>
                <w:color w:val="232323"/>
                <w:sz w:val="16"/>
              </w:rPr>
              <w:t>Learn principles</w:t>
            </w:r>
          </w:p>
        </w:tc>
        <w:tc>
          <w:tcPr>
            <w:tcW w:type="dxa" w:w="5760"/>
            <w:vAlign w:val="center"/>
          </w:tcPr>
          <w:p>
            <w:pPr>
              <w:spacing w:after="0"/>
            </w:pPr>
            <w:r/>
            <w:r>
              <w:rPr>
                <w:rFonts w:ascii="Aptos" w:hAnsi="Aptos"/>
                <w:b w:val="0"/>
                <w:color w:val="232323"/>
                <w:sz w:val="16"/>
              </w:rPr>
              <w:t>Explain exposure and response prevention in non-prescriptive language</w:t>
            </w:r>
          </w:p>
        </w:tc>
      </w:tr>
      <w:tr>
        <w:tc>
          <w:tcPr>
            <w:tcW w:type="dxa" w:w="1944"/>
            <w:vAlign w:val="center"/>
            <w:shd w:fill="F5F8FB"/>
          </w:tcPr>
          <w:p>
            <w:pPr>
              <w:spacing w:after="0"/>
            </w:pPr>
            <w:r/>
            <w:r>
              <w:rPr>
                <w:rFonts w:ascii="Aptos" w:hAnsi="Aptos"/>
                <w:b w:val="0"/>
                <w:color w:val="232323"/>
                <w:sz w:val="16"/>
              </w:rPr>
              <w:t>Mental rituals</w:t>
            </w:r>
          </w:p>
        </w:tc>
        <w:tc>
          <w:tcPr>
            <w:tcW w:type="dxa" w:w="2952"/>
            <w:vAlign w:val="center"/>
            <w:shd w:fill="F5F8FB"/>
          </w:tcPr>
          <w:p>
            <w:pPr>
              <w:spacing w:after="0"/>
            </w:pPr>
            <w:r/>
            <w:r>
              <w:rPr>
                <w:rFonts w:ascii="Aptos" w:hAnsi="Aptos"/>
                <w:b w:val="0"/>
                <w:color w:val="232323"/>
                <w:sz w:val="16"/>
              </w:rPr>
              <w:t>Examples + reflection</w:t>
            </w:r>
          </w:p>
        </w:tc>
        <w:tc>
          <w:tcPr>
            <w:tcW w:type="dxa" w:w="5760"/>
            <w:vAlign w:val="center"/>
            <w:shd w:fill="F5F8FB"/>
          </w:tcPr>
          <w:p>
            <w:pPr>
              <w:spacing w:after="0"/>
            </w:pPr>
            <w:r/>
            <w:r>
              <w:rPr>
                <w:rFonts w:ascii="Aptos" w:hAnsi="Aptos"/>
                <w:b w:val="0"/>
                <w:color w:val="232323"/>
                <w:sz w:val="16"/>
              </w:rPr>
              <w:t>Help users recognize covert compulsions without forcing disclosure</w:t>
            </w:r>
          </w:p>
        </w:tc>
      </w:tr>
      <w:tr>
        <w:tc>
          <w:tcPr>
            <w:tcW w:type="dxa" w:w="1944"/>
            <w:vAlign w:val="center"/>
          </w:tcPr>
          <w:p>
            <w:pPr>
              <w:spacing w:after="0"/>
            </w:pPr>
            <w:r/>
            <w:r>
              <w:rPr>
                <w:rFonts w:ascii="Aptos" w:hAnsi="Aptos"/>
                <w:b w:val="0"/>
                <w:color w:val="232323"/>
                <w:sz w:val="16"/>
              </w:rPr>
              <w:t>Reassurance / avoidance</w:t>
            </w:r>
          </w:p>
        </w:tc>
        <w:tc>
          <w:tcPr>
            <w:tcW w:type="dxa" w:w="2952"/>
            <w:vAlign w:val="center"/>
          </w:tcPr>
          <w:p>
            <w:pPr>
              <w:spacing w:after="0"/>
            </w:pPr>
            <w:r/>
            <w:r>
              <w:rPr>
                <w:rFonts w:ascii="Aptos" w:hAnsi="Aptos"/>
                <w:b w:val="0"/>
                <w:color w:val="232323"/>
                <w:sz w:val="16"/>
              </w:rPr>
              <w:t>Self-reflection prompts</w:t>
            </w:r>
          </w:p>
        </w:tc>
        <w:tc>
          <w:tcPr>
            <w:tcW w:type="dxa" w:w="5760"/>
            <w:vAlign w:val="center"/>
          </w:tcPr>
          <w:p>
            <w:pPr>
              <w:spacing w:after="0"/>
            </w:pPr>
            <w:r/>
            <w:r>
              <w:rPr>
                <w:rFonts w:ascii="Aptos" w:hAnsi="Aptos"/>
                <w:b w:val="0"/>
                <w:color w:val="232323"/>
                <w:sz w:val="16"/>
              </w:rPr>
              <w:t>Identify behaviors that may maintain the cycle</w:t>
            </w:r>
          </w:p>
        </w:tc>
      </w:tr>
      <w:tr>
        <w:tc>
          <w:tcPr>
            <w:tcW w:type="dxa" w:w="1944"/>
            <w:vAlign w:val="center"/>
            <w:shd w:fill="F5F8FB"/>
          </w:tcPr>
          <w:p>
            <w:pPr>
              <w:spacing w:after="0"/>
            </w:pPr>
            <w:r/>
            <w:r>
              <w:rPr>
                <w:rFonts w:ascii="Aptos" w:hAnsi="Aptos"/>
                <w:b w:val="0"/>
                <w:color w:val="232323"/>
                <w:sz w:val="16"/>
              </w:rPr>
              <w:t>When to seek professional help</w:t>
            </w:r>
          </w:p>
        </w:tc>
        <w:tc>
          <w:tcPr>
            <w:tcW w:type="dxa" w:w="2952"/>
            <w:vAlign w:val="center"/>
            <w:shd w:fill="F5F8FB"/>
          </w:tcPr>
          <w:p>
            <w:pPr>
              <w:spacing w:after="0"/>
            </w:pPr>
            <w:r/>
            <w:r>
              <w:rPr>
                <w:rFonts w:ascii="Aptos" w:hAnsi="Aptos"/>
                <w:b w:val="0"/>
                <w:color w:val="232323"/>
                <w:sz w:val="16"/>
              </w:rPr>
              <w:t>Decision-support education</w:t>
            </w:r>
          </w:p>
        </w:tc>
        <w:tc>
          <w:tcPr>
            <w:tcW w:type="dxa" w:w="5760"/>
            <w:vAlign w:val="center"/>
            <w:shd w:fill="F5F8FB"/>
          </w:tcPr>
          <w:p>
            <w:pPr>
              <w:spacing w:after="0"/>
            </w:pPr>
            <w:r/>
            <w:r>
              <w:rPr>
                <w:rFonts w:ascii="Aptos" w:hAnsi="Aptos"/>
                <w:b w:val="0"/>
                <w:color w:val="232323"/>
                <w:sz w:val="16"/>
              </w:rPr>
              <w:t>Explain escalation pathways without diagnosing</w:t>
            </w:r>
          </w:p>
        </w:tc>
      </w:tr>
      <w:tr>
        <w:tc>
          <w:tcPr>
            <w:tcW w:type="dxa" w:w="1944"/>
            <w:vAlign w:val="center"/>
          </w:tcPr>
          <w:p>
            <w:pPr>
              <w:spacing w:after="0"/>
            </w:pPr>
            <w:r/>
            <w:r>
              <w:rPr>
                <w:rFonts w:ascii="Aptos" w:hAnsi="Aptos"/>
                <w:b w:val="0"/>
                <w:color w:val="232323"/>
                <w:sz w:val="16"/>
              </w:rPr>
              <w:t>Resources</w:t>
            </w:r>
          </w:p>
        </w:tc>
        <w:tc>
          <w:tcPr>
            <w:tcW w:type="dxa" w:w="2952"/>
            <w:vAlign w:val="center"/>
          </w:tcPr>
          <w:p>
            <w:pPr>
              <w:spacing w:after="0"/>
            </w:pPr>
            <w:r/>
            <w:r>
              <w:rPr>
                <w:rFonts w:ascii="Aptos" w:hAnsi="Aptos"/>
                <w:b w:val="0"/>
                <w:color w:val="232323"/>
                <w:sz w:val="16"/>
              </w:rPr>
              <w:t>Open external help</w:t>
            </w:r>
          </w:p>
        </w:tc>
        <w:tc>
          <w:tcPr>
            <w:tcW w:type="dxa" w:w="5760"/>
            <w:vAlign w:val="center"/>
          </w:tcPr>
          <w:p>
            <w:pPr>
              <w:spacing w:after="0"/>
            </w:pPr>
            <w:r/>
            <w:r>
              <w:rPr>
                <w:rFonts w:ascii="Aptos" w:hAnsi="Aptos"/>
                <w:b w:val="0"/>
                <w:color w:val="232323"/>
                <w:sz w:val="16"/>
              </w:rPr>
              <w:t>Link to Tele-MANAS and other verified resources</w:t>
            </w:r>
          </w:p>
        </w:tc>
      </w:tr>
    </w:tbl>
    <w:p/>
    <w:p>
      <w:pPr>
        <w:pStyle w:val="Heading2"/>
      </w:pPr>
      <w:r>
        <w:t>5.3 Optional screening tools</w:t>
      </w:r>
    </w:p>
    <w:p>
      <w:r>
        <w:t>The platform can host appropriately licensed/attributed screening questionnaires such as validated OCD symptom measures, but the result should be presented as a screening signal—not a diagnosis. Where a validated instrument is used, the scoring, copyright/licensing status and interpretation must be reviewed before deployment.</w:t>
      </w:r>
    </w:p>
    <w:p>
      <w:pPr>
        <w:pStyle w:val="Heading2"/>
      </w:pPr>
      <w:r>
        <w:t>5.4 Behavioral journal</w:t>
      </w:r>
    </w:p>
    <w:p>
      <w:pPr>
        <w:pStyle w:val="ListBullet"/>
        <w:spacing w:after="40"/>
      </w:pPr>
      <w:r>
        <w:t>Record the situation/trigger in a short, user-controlled description.</w:t>
      </w:r>
    </w:p>
    <w:p>
      <w:pPr>
        <w:pStyle w:val="ListBullet"/>
        <w:spacing w:after="40"/>
      </w:pPr>
      <w:r>
        <w:t>Record urge/distress on a simple scale.</w:t>
      </w:r>
    </w:p>
    <w:p>
      <w:pPr>
        <w:pStyle w:val="ListBullet"/>
        <w:spacing w:after="40"/>
      </w:pPr>
      <w:r>
        <w:t>Record the response: compulsion, avoidance, reassurance seeking, or choosing not to perform the response.</w:t>
      </w:r>
    </w:p>
    <w:p>
      <w:pPr>
        <w:pStyle w:val="ListBullet"/>
        <w:spacing w:after="40"/>
      </w:pPr>
      <w:r>
        <w:t>Record what happened afterward and an optional reflection.</w:t>
      </w:r>
    </w:p>
    <w:p>
      <w:pPr>
        <w:pStyle w:val="ListBullet"/>
        <w:spacing w:after="40"/>
      </w:pPr>
      <w:r>
        <w:t>Tag context: study, work, social, contamination, checking, intrusive thoughts, uncertainty, etc. Tags should be configurable and non-diagnostic.</w:t>
      </w:r>
    </w:p>
    <w:p>
      <w:pPr>
        <w:pStyle w:val="Heading2"/>
      </w:pPr>
      <w:r>
        <w:t>5.5 ERP companion</w:t>
      </w:r>
    </w:p>
    <w:p>
      <w:r>
        <w:t>The hackathon MVP should focus on a tracker and educational companion rather than an autonomous therapist that dynamically prescribes exposures. A future clinician-assisted mode can allow a verified professional to assign or approve structured exercises. NICE's OCD guidance supports stepped-care approaches and describes low-intensity CBT/ERP formats for appropriate adults, while more severe or non-responsive cases require more intensive professional care. [8]</w:t>
      </w:r>
    </w:p>
    <w:p>
      <w:pPr>
        <w:pStyle w:val="Heading2"/>
      </w:pPr>
      <w:r>
        <w:t>5.6 Progress dashboard</w:t>
      </w:r>
    </w:p>
    <w:p>
      <w:pPr>
        <w:pStyle w:val="ListBullet"/>
        <w:spacing w:after="40"/>
      </w:pPr>
      <w:r>
        <w:t>Weekly exposure/behavioral-practice count.</w:t>
      </w:r>
    </w:p>
    <w:p>
      <w:pPr>
        <w:pStyle w:val="ListBullet"/>
        <w:spacing w:after="40"/>
      </w:pPr>
      <w:r>
        <w:t>Trend of self-rated distress/urge before and after an exercise.</w:t>
      </w:r>
    </w:p>
    <w:p>
      <w:pPr>
        <w:pStyle w:val="ListBullet"/>
        <w:spacing w:after="40"/>
      </w:pPr>
      <w:r>
        <w:t>Compulsion/avoidance frequency over time.</w:t>
      </w:r>
    </w:p>
    <w:p>
      <w:pPr>
        <w:pStyle w:val="ListBullet"/>
        <w:spacing w:after="40"/>
      </w:pPr>
      <w:r>
        <w:t>Adherence and missed sessions/exercises.</w:t>
      </w:r>
    </w:p>
    <w:p>
      <w:pPr>
        <w:pStyle w:val="ListBullet"/>
        <w:spacing w:after="40"/>
      </w:pPr>
      <w:r>
        <w:t>User-written reflections.</w:t>
      </w:r>
    </w:p>
    <w:p>
      <w:pPr>
        <w:pStyle w:val="ListBullet"/>
        <w:spacing w:after="40"/>
      </w:pPr>
      <w:r>
        <w:t>AI-generated pattern summary with a clear label: 'not a diagnosis / not medical advice.'</w:t>
      </w:r>
    </w:p>
    <w:p>
      <w:pPr>
        <w:pStyle w:val="Heading2"/>
      </w:pPr>
      <w:r>
        <w:t>5.7 Professional connection</w:t>
      </w:r>
    </w:p>
    <w:p>
      <w:pPr>
        <w:pStyle w:val="ListBullet"/>
        <w:spacing w:after="40"/>
      </w:pPr>
      <w:r>
        <w:t>Browse verified practitioners by specialization, language, city/tele-consultation availability and care type.</w:t>
      </w:r>
    </w:p>
    <w:p>
      <w:pPr>
        <w:pStyle w:val="ListBullet"/>
        <w:spacing w:after="40"/>
      </w:pPr>
      <w:r>
        <w:t>View verification badge and registration details appropriate to the professional category.</w:t>
      </w:r>
    </w:p>
    <w:p>
      <w:pPr>
        <w:pStyle w:val="ListBullet"/>
        <w:spacing w:after="40"/>
      </w:pPr>
      <w:r>
        <w:t>Send a connection/request-to-review invitation.</w:t>
      </w:r>
    </w:p>
    <w:p>
      <w:pPr>
        <w:pStyle w:val="ListBullet"/>
        <w:spacing w:after="40"/>
      </w:pPr>
      <w:r>
        <w:t>Choose exactly which categories of data the professional may view.</w:t>
      </w:r>
    </w:p>
    <w:p>
      <w:pPr>
        <w:pStyle w:val="ListBullet"/>
        <w:spacing w:after="40"/>
      </w:pPr>
      <w:r>
        <w:t>Revoke access later.</w:t>
      </w:r>
    </w:p>
    <w:p>
      <w:pPr>
        <w:pStyle w:val="ListBullet"/>
        <w:spacing w:after="40"/>
      </w:pPr>
      <w:r>
        <w:t>Receive a professional note or next-step recommendation.</w:t>
      </w:r>
    </w:p>
    <w:p>
      <w:pPr>
        <w:pStyle w:val="ListBullet"/>
        <w:spacing w:after="40"/>
      </w:pPr>
      <w:r>
        <w:t>Be routed to higher-level care or public resources when the professional determines it is appropriate.</w:t>
      </w:r>
    </w:p>
    <w:p>
      <w:pPr>
        <w:pStyle w:val="Heading2"/>
      </w:pPr>
      <w:r>
        <w:t>5.8 User control center</w:t>
      </w:r>
    </w:p>
    <w:p>
      <w:pPr>
        <w:pStyle w:val="ListBullet"/>
        <w:spacing w:after="40"/>
      </w:pPr>
      <w:r>
        <w:t>Consent dashboard: what data is shared and with whom.</w:t>
      </w:r>
    </w:p>
    <w:p>
      <w:pPr>
        <w:pStyle w:val="ListBullet"/>
        <w:spacing w:after="40"/>
      </w:pPr>
      <w:r>
        <w:t>Download/export personal data.</w:t>
      </w:r>
    </w:p>
    <w:p>
      <w:pPr>
        <w:pStyle w:val="ListBullet"/>
        <w:spacing w:after="40"/>
      </w:pPr>
      <w:r>
        <w:t>Delete account/data subject to applicable legal retention obligations.</w:t>
      </w:r>
    </w:p>
    <w:p>
      <w:pPr>
        <w:pStyle w:val="ListBullet"/>
        <w:spacing w:after="40"/>
      </w:pPr>
      <w:r>
        <w:t>Disconnect professional access.</w:t>
      </w:r>
    </w:p>
    <w:p>
      <w:pPr>
        <w:pStyle w:val="ListBullet"/>
        <w:spacing w:after="40"/>
      </w:pPr>
      <w:r>
        <w:t>Disable AI summaries.</w:t>
      </w:r>
    </w:p>
    <w:p>
      <w:pPr>
        <w:pStyle w:val="ListBullet"/>
        <w:spacing w:after="40"/>
      </w:pPr>
      <w:r>
        <w:t>Manage reminders and notifications.</w:t>
      </w:r>
    </w:p>
    <w:p>
      <w:pPr>
        <w:pStyle w:val="Heading1"/>
      </w:pPr>
      <w:r>
        <w:t>6. Practitioner Experience</w:t>
      </w:r>
    </w:p>
    <w:p>
      <w:pPr>
        <w:pStyle w:val="Heading2"/>
      </w:pPr>
      <w:r>
        <w:t>6.1 Verification workflow</w:t>
      </w:r>
    </w:p>
    <w:p>
      <w:r>
        <w:t>Professional onboarding should be role-specific. For example, clinical psychologists are a regulated category under the Rehabilitation Council of India (RCI), which maintains the Central Rehabilitation Register (CRR). Medical practitioners must be verified against the applicable medical registration framework. The prototype can implement manual/admin verification first; direct API verification against registries can be a future integration. [12]</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12"/>
            <w:vAlign w:val="center"/>
            <w:shd w:fill="304F73"/>
          </w:tcPr>
          <w:p>
            <w:pPr>
              <w:spacing w:after="0"/>
            </w:pPr>
            <w:r/>
            <w:r>
              <w:rPr>
                <w:rFonts w:ascii="Aptos" w:hAnsi="Aptos"/>
                <w:b/>
                <w:color w:val="FFFFFF"/>
                <w:sz w:val="16"/>
              </w:rPr>
              <w:t>Step</w:t>
            </w:r>
          </w:p>
        </w:tc>
        <w:tc>
          <w:tcPr>
            <w:tcW w:type="dxa" w:w="4320"/>
            <w:vAlign w:val="center"/>
            <w:shd w:fill="304F73"/>
          </w:tcPr>
          <w:p>
            <w:pPr>
              <w:spacing w:after="0"/>
            </w:pPr>
            <w:r/>
            <w:r>
              <w:rPr>
                <w:rFonts w:ascii="Aptos" w:hAnsi="Aptos"/>
                <w:b/>
                <w:color w:val="FFFFFF"/>
                <w:sz w:val="16"/>
              </w:rPr>
              <w:t>Practitioner action</w:t>
            </w:r>
          </w:p>
        </w:tc>
        <w:tc>
          <w:tcPr>
            <w:tcW w:type="dxa" w:w="4824"/>
            <w:vAlign w:val="center"/>
            <w:shd w:fill="304F73"/>
          </w:tcPr>
          <w:p>
            <w:pPr>
              <w:spacing w:after="0"/>
            </w:pPr>
            <w:r/>
            <w:r>
              <w:rPr>
                <w:rFonts w:ascii="Aptos" w:hAnsi="Aptos"/>
                <w:b/>
                <w:color w:val="FFFFFF"/>
                <w:sz w:val="16"/>
              </w:rPr>
              <w:t>Platform control</w:t>
            </w:r>
          </w:p>
        </w:tc>
      </w:tr>
      <w:tr>
        <w:tc>
          <w:tcPr>
            <w:tcW w:type="dxa" w:w="1512"/>
            <w:vAlign w:val="center"/>
          </w:tcPr>
          <w:p>
            <w:pPr>
              <w:spacing w:after="0"/>
            </w:pPr>
            <w:r/>
            <w:r>
              <w:rPr>
                <w:rFonts w:ascii="Aptos" w:hAnsi="Aptos"/>
                <w:b w:val="0"/>
                <w:color w:val="232323"/>
                <w:sz w:val="16"/>
              </w:rPr>
              <w:t>1. Identity</w:t>
            </w:r>
          </w:p>
        </w:tc>
        <w:tc>
          <w:tcPr>
            <w:tcW w:type="dxa" w:w="4320"/>
            <w:vAlign w:val="center"/>
          </w:tcPr>
          <w:p>
            <w:pPr>
              <w:spacing w:after="0"/>
            </w:pPr>
            <w:r/>
            <w:r>
              <w:rPr>
                <w:rFonts w:ascii="Aptos" w:hAnsi="Aptos"/>
                <w:b w:val="0"/>
                <w:color w:val="232323"/>
                <w:sz w:val="16"/>
              </w:rPr>
              <w:t>Submit name, contact, professional role</w:t>
            </w:r>
          </w:p>
        </w:tc>
        <w:tc>
          <w:tcPr>
            <w:tcW w:type="dxa" w:w="4824"/>
            <w:vAlign w:val="center"/>
          </w:tcPr>
          <w:p>
            <w:pPr>
              <w:spacing w:after="0"/>
            </w:pPr>
            <w:r/>
            <w:r>
              <w:rPr>
                <w:rFonts w:ascii="Aptos" w:hAnsi="Aptos"/>
                <w:b w:val="0"/>
                <w:color w:val="232323"/>
                <w:sz w:val="16"/>
              </w:rPr>
              <w:t>Account created as 'pending verification'</w:t>
            </w:r>
          </w:p>
        </w:tc>
      </w:tr>
      <w:tr>
        <w:tc>
          <w:tcPr>
            <w:tcW w:type="dxa" w:w="1512"/>
            <w:vAlign w:val="center"/>
            <w:shd w:fill="F5F8FB"/>
          </w:tcPr>
          <w:p>
            <w:pPr>
              <w:spacing w:after="0"/>
            </w:pPr>
            <w:r/>
            <w:r>
              <w:rPr>
                <w:rFonts w:ascii="Aptos" w:hAnsi="Aptos"/>
                <w:b w:val="0"/>
                <w:color w:val="232323"/>
                <w:sz w:val="16"/>
              </w:rPr>
              <w:t>2. Credentials</w:t>
            </w:r>
          </w:p>
        </w:tc>
        <w:tc>
          <w:tcPr>
            <w:tcW w:type="dxa" w:w="4320"/>
            <w:vAlign w:val="center"/>
            <w:shd w:fill="F5F8FB"/>
          </w:tcPr>
          <w:p>
            <w:pPr>
              <w:spacing w:after="0"/>
            </w:pPr>
            <w:r/>
            <w:r>
              <w:rPr>
                <w:rFonts w:ascii="Aptos" w:hAnsi="Aptos"/>
                <w:b w:val="0"/>
                <w:color w:val="232323"/>
                <w:sz w:val="16"/>
              </w:rPr>
              <w:t>Submit applicable registration number / certificate</w:t>
            </w:r>
          </w:p>
        </w:tc>
        <w:tc>
          <w:tcPr>
            <w:tcW w:type="dxa" w:w="4824"/>
            <w:vAlign w:val="center"/>
            <w:shd w:fill="F5F8FB"/>
          </w:tcPr>
          <w:p>
            <w:pPr>
              <w:spacing w:after="0"/>
            </w:pPr>
            <w:r/>
            <w:r>
              <w:rPr>
                <w:rFonts w:ascii="Aptos" w:hAnsi="Aptos"/>
                <w:b w:val="0"/>
                <w:color w:val="232323"/>
                <w:sz w:val="16"/>
              </w:rPr>
              <w:t>Documents encrypted and access-restricted</w:t>
            </w:r>
          </w:p>
        </w:tc>
      </w:tr>
      <w:tr>
        <w:tc>
          <w:tcPr>
            <w:tcW w:type="dxa" w:w="1512"/>
            <w:vAlign w:val="center"/>
          </w:tcPr>
          <w:p>
            <w:pPr>
              <w:spacing w:after="0"/>
            </w:pPr>
            <w:r/>
            <w:r>
              <w:rPr>
                <w:rFonts w:ascii="Aptos" w:hAnsi="Aptos"/>
                <w:b w:val="0"/>
                <w:color w:val="232323"/>
                <w:sz w:val="16"/>
              </w:rPr>
              <w:t>3. Verification</w:t>
            </w:r>
          </w:p>
        </w:tc>
        <w:tc>
          <w:tcPr>
            <w:tcW w:type="dxa" w:w="4320"/>
            <w:vAlign w:val="center"/>
          </w:tcPr>
          <w:p>
            <w:pPr>
              <w:spacing w:after="0"/>
            </w:pPr>
            <w:r/>
            <w:r>
              <w:rPr>
                <w:rFonts w:ascii="Aptos" w:hAnsi="Aptos"/>
                <w:b w:val="0"/>
                <w:color w:val="232323"/>
                <w:sz w:val="16"/>
              </w:rPr>
              <w:t>Admin reviews against authoritative registration information</w:t>
            </w:r>
          </w:p>
        </w:tc>
        <w:tc>
          <w:tcPr>
            <w:tcW w:type="dxa" w:w="4824"/>
            <w:vAlign w:val="center"/>
          </w:tcPr>
          <w:p>
            <w:pPr>
              <w:spacing w:after="0"/>
            </w:pPr>
            <w:r/>
            <w:r>
              <w:rPr>
                <w:rFonts w:ascii="Aptos" w:hAnsi="Aptos"/>
                <w:b w:val="0"/>
                <w:color w:val="232323"/>
                <w:sz w:val="16"/>
              </w:rPr>
              <w:t>Verification badge only after approval</w:t>
            </w:r>
          </w:p>
        </w:tc>
      </w:tr>
      <w:tr>
        <w:tc>
          <w:tcPr>
            <w:tcW w:type="dxa" w:w="1512"/>
            <w:vAlign w:val="center"/>
            <w:shd w:fill="F5F8FB"/>
          </w:tcPr>
          <w:p>
            <w:pPr>
              <w:spacing w:after="0"/>
            </w:pPr>
            <w:r/>
            <w:r>
              <w:rPr>
                <w:rFonts w:ascii="Aptos" w:hAnsi="Aptos"/>
                <w:b w:val="0"/>
                <w:color w:val="232323"/>
                <w:sz w:val="16"/>
              </w:rPr>
              <w:t>4. Scope</w:t>
            </w:r>
          </w:p>
        </w:tc>
        <w:tc>
          <w:tcPr>
            <w:tcW w:type="dxa" w:w="4320"/>
            <w:vAlign w:val="center"/>
            <w:shd w:fill="F5F8FB"/>
          </w:tcPr>
          <w:p>
            <w:pPr>
              <w:spacing w:after="0"/>
            </w:pPr>
            <w:r/>
            <w:r>
              <w:rPr>
                <w:rFonts w:ascii="Aptos" w:hAnsi="Aptos"/>
                <w:b w:val="0"/>
                <w:color w:val="232323"/>
                <w:sz w:val="16"/>
              </w:rPr>
              <w:t>Select specialties/services actually offered</w:t>
            </w:r>
          </w:p>
        </w:tc>
        <w:tc>
          <w:tcPr>
            <w:tcW w:type="dxa" w:w="4824"/>
            <w:vAlign w:val="center"/>
            <w:shd w:fill="F5F8FB"/>
          </w:tcPr>
          <w:p>
            <w:pPr>
              <w:spacing w:after="0"/>
            </w:pPr>
            <w:r/>
            <w:r>
              <w:rPr>
                <w:rFonts w:ascii="Aptos" w:hAnsi="Aptos"/>
                <w:b w:val="0"/>
                <w:color w:val="232323"/>
                <w:sz w:val="16"/>
              </w:rPr>
              <w:t>Prevents unsupported claims</w:t>
            </w:r>
          </w:p>
        </w:tc>
      </w:tr>
      <w:tr>
        <w:tc>
          <w:tcPr>
            <w:tcW w:type="dxa" w:w="1512"/>
            <w:vAlign w:val="center"/>
          </w:tcPr>
          <w:p>
            <w:pPr>
              <w:spacing w:after="0"/>
            </w:pPr>
            <w:r/>
            <w:r>
              <w:rPr>
                <w:rFonts w:ascii="Aptos" w:hAnsi="Aptos"/>
                <w:b w:val="0"/>
                <w:color w:val="232323"/>
                <w:sz w:val="16"/>
              </w:rPr>
              <w:t>5. Availability</w:t>
            </w:r>
          </w:p>
        </w:tc>
        <w:tc>
          <w:tcPr>
            <w:tcW w:type="dxa" w:w="4320"/>
            <w:vAlign w:val="center"/>
          </w:tcPr>
          <w:p>
            <w:pPr>
              <w:spacing w:after="0"/>
            </w:pPr>
            <w:r/>
            <w:r>
              <w:rPr>
                <w:rFonts w:ascii="Aptos" w:hAnsi="Aptos"/>
                <w:b w:val="0"/>
                <w:color w:val="232323"/>
                <w:sz w:val="16"/>
              </w:rPr>
              <w:t>Set remote/in-person availability</w:t>
            </w:r>
          </w:p>
        </w:tc>
        <w:tc>
          <w:tcPr>
            <w:tcW w:type="dxa" w:w="4824"/>
            <w:vAlign w:val="center"/>
          </w:tcPr>
          <w:p>
            <w:pPr>
              <w:spacing w:after="0"/>
            </w:pPr>
            <w:r/>
            <w:r>
              <w:rPr>
                <w:rFonts w:ascii="Aptos" w:hAnsi="Aptos"/>
                <w:b w:val="0"/>
                <w:color w:val="232323"/>
                <w:sz w:val="16"/>
              </w:rPr>
              <w:t>User sees appointment/contact options</w:t>
            </w:r>
          </w:p>
        </w:tc>
      </w:tr>
      <w:tr>
        <w:tc>
          <w:tcPr>
            <w:tcW w:type="dxa" w:w="1512"/>
            <w:vAlign w:val="center"/>
            <w:shd w:fill="F5F8FB"/>
          </w:tcPr>
          <w:p>
            <w:pPr>
              <w:spacing w:after="0"/>
            </w:pPr>
            <w:r/>
            <w:r>
              <w:rPr>
                <w:rFonts w:ascii="Aptos" w:hAnsi="Aptos"/>
                <w:b w:val="0"/>
                <w:color w:val="232323"/>
                <w:sz w:val="16"/>
              </w:rPr>
              <w:t>6. Professional conduct</w:t>
            </w:r>
          </w:p>
        </w:tc>
        <w:tc>
          <w:tcPr>
            <w:tcW w:type="dxa" w:w="4320"/>
            <w:vAlign w:val="center"/>
            <w:shd w:fill="F5F8FB"/>
          </w:tcPr>
          <w:p>
            <w:pPr>
              <w:spacing w:after="0"/>
            </w:pPr>
            <w:r/>
            <w:r>
              <w:rPr>
                <w:rFonts w:ascii="Aptos" w:hAnsi="Aptos"/>
                <w:b w:val="0"/>
                <w:color w:val="232323"/>
                <w:sz w:val="16"/>
              </w:rPr>
              <w:t>Accept platform terms and safety policy</w:t>
            </w:r>
          </w:p>
        </w:tc>
        <w:tc>
          <w:tcPr>
            <w:tcW w:type="dxa" w:w="4824"/>
            <w:vAlign w:val="center"/>
            <w:shd w:fill="F5F8FB"/>
          </w:tcPr>
          <w:p>
            <w:pPr>
              <w:spacing w:after="0"/>
            </w:pPr>
            <w:r/>
            <w:r>
              <w:rPr>
                <w:rFonts w:ascii="Aptos" w:hAnsi="Aptos"/>
                <w:b w:val="0"/>
                <w:color w:val="232323"/>
                <w:sz w:val="16"/>
              </w:rPr>
              <w:t>Audit log + report mechanism</w:t>
            </w:r>
          </w:p>
        </w:tc>
      </w:tr>
    </w:tbl>
    <w:p/>
    <w:p>
      <w:pPr>
        <w:pStyle w:val="Heading2"/>
      </w:pPr>
      <w:r>
        <w:t>6.2 Practitioner dashboard</w:t>
      </w:r>
    </w:p>
    <w:p>
      <w:pPr>
        <w:pStyle w:val="ListBullet"/>
        <w:spacing w:after="40"/>
      </w:pPr>
      <w:r>
        <w:t>Pending user connection requests.</w:t>
      </w:r>
    </w:p>
    <w:p>
      <w:pPr>
        <w:pStyle w:val="ListBullet"/>
        <w:spacing w:after="40"/>
      </w:pPr>
      <w:r>
        <w:t>Consent summary showing exactly what the user has authorized.</w:t>
      </w:r>
    </w:p>
    <w:p>
      <w:pPr>
        <w:pStyle w:val="ListBullet"/>
        <w:spacing w:after="40"/>
      </w:pPr>
      <w:r>
        <w:t>Timeline of behavioral logs, not raw private thoughts unless explicitly shared.</w:t>
      </w:r>
    </w:p>
    <w:p>
      <w:pPr>
        <w:pStyle w:val="ListBullet"/>
        <w:spacing w:after="40"/>
      </w:pPr>
      <w:r>
        <w:t>AI-generated trend summary with source data visible to the practitioner.</w:t>
      </w:r>
    </w:p>
    <w:p>
      <w:pPr>
        <w:pStyle w:val="ListBullet"/>
        <w:spacing w:after="40"/>
      </w:pPr>
      <w:r>
        <w:t>Flags for incomplete information or sudden change in self-reporting—never presented as clinical diagnosis.</w:t>
      </w:r>
    </w:p>
    <w:p>
      <w:pPr>
        <w:pStyle w:val="ListBullet"/>
        <w:spacing w:after="40"/>
      </w:pPr>
      <w:r>
        <w:t>Add a professional note, recommendation or referral pathway.</w:t>
      </w:r>
    </w:p>
    <w:p>
      <w:pPr>
        <w:pStyle w:val="ListBullet"/>
        <w:spacing w:after="40"/>
      </w:pPr>
      <w:r>
        <w:t>Request updated assessment or schedule professional interaction.</w:t>
      </w:r>
    </w:p>
    <w:p>
      <w:pPr>
        <w:pStyle w:val="ListBullet"/>
        <w:spacing w:after="40"/>
      </w:pPr>
      <w:r>
        <w:t>Close/revoke connection with reason and handoff message.</w:t>
      </w:r>
    </w:p>
    <w:p>
      <w:pPr>
        <w:pStyle w:val="Heading2"/>
      </w:pPr>
      <w:r>
        <w:t>6.3 Professional escalation principle</w:t>
      </w:r>
    </w:p>
    <w:tbl>
      <w:tblPr>
        <w:tblStyle w:val="TableGrid"/>
        <w:tblW w:type="auto" w:w="0"/>
        <w:tblLook w:firstColumn="1" w:firstRow="1" w:lastColumn="0" w:lastRow="0" w:noHBand="0" w:noVBand="1" w:val="04A0"/>
      </w:tblPr>
      <w:tblGrid>
        <w:gridCol w:w="10080"/>
      </w:tblGrid>
      <w:tr>
        <w:trPr>
          <w:tblHeader w:val="true"/>
        </w:trPr>
        <w:tc>
          <w:tcPr>
            <w:tcW w:type="dxa" w:w="10080"/>
            <w:shd w:fill="FFF3E8"/>
          </w:tcPr>
          <w:p>
            <w:r/>
            <w:r>
              <w:rPr>
                <w:b/>
                <w:color w:val="1B2C4F"/>
                <w:sz w:val="20"/>
              </w:rPr>
              <w:t>HUMAN-IN-THE-LOOP</w:t>
              <w:br/>
            </w:r>
            <w:r>
              <w:rPr>
                <w:color w:val="232323"/>
                <w:sz w:val="18"/>
              </w:rPr>
              <w:t>AI can say 'this pattern may be worth discussing with your professional.' It should not say 'you have OCD', 'you need medication', 'you are safe', or 'you do not need a psychiatrist.' Clinical judgment belongs to the appropriate professional.</w:t>
            </w:r>
          </w:p>
        </w:tc>
      </w:tr>
    </w:tbl>
    <w:p/>
    <w:p>
      <w:pPr>
        <w:pStyle w:val="Heading1"/>
      </w:pPr>
      <w:r>
        <w:t>7. AI Layer: Useful, Narrow and Defensible</w:t>
      </w:r>
    </w:p>
    <w:p>
      <w:pPr>
        <w:pStyle w:val="Heading2"/>
      </w:pPr>
      <w:r>
        <w:t>7.1 What AI should do</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944"/>
            <w:vAlign w:val="center"/>
            <w:shd w:fill="304F73"/>
          </w:tcPr>
          <w:p>
            <w:pPr>
              <w:spacing w:after="0"/>
            </w:pPr>
            <w:r/>
            <w:r>
              <w:rPr>
                <w:rFonts w:ascii="Aptos" w:hAnsi="Aptos"/>
                <w:b/>
                <w:color w:val="FFFFFF"/>
                <w:sz w:val="15"/>
              </w:rPr>
              <w:t>AI function</w:t>
            </w:r>
          </w:p>
        </w:tc>
        <w:tc>
          <w:tcPr>
            <w:tcW w:type="dxa" w:w="2520"/>
            <w:vAlign w:val="center"/>
            <w:shd w:fill="304F73"/>
          </w:tcPr>
          <w:p>
            <w:pPr>
              <w:spacing w:after="0"/>
            </w:pPr>
            <w:r/>
            <w:r>
              <w:rPr>
                <w:rFonts w:ascii="Aptos" w:hAnsi="Aptos"/>
                <w:b/>
                <w:color w:val="FFFFFF"/>
                <w:sz w:val="15"/>
              </w:rPr>
              <w:t>Input</w:t>
            </w:r>
          </w:p>
        </w:tc>
        <w:tc>
          <w:tcPr>
            <w:tcW w:type="dxa" w:w="3528"/>
            <w:vAlign w:val="center"/>
            <w:shd w:fill="304F73"/>
          </w:tcPr>
          <w:p>
            <w:pPr>
              <w:spacing w:after="0"/>
            </w:pPr>
            <w:r/>
            <w:r>
              <w:rPr>
                <w:rFonts w:ascii="Aptos" w:hAnsi="Aptos"/>
                <w:b/>
                <w:color w:val="FFFFFF"/>
                <w:sz w:val="15"/>
              </w:rPr>
              <w:t>Output</w:t>
            </w:r>
          </w:p>
        </w:tc>
        <w:tc>
          <w:tcPr>
            <w:tcW w:type="dxa" w:w="2664"/>
            <w:vAlign w:val="center"/>
            <w:shd w:fill="304F73"/>
          </w:tcPr>
          <w:p>
            <w:pPr>
              <w:spacing w:after="0"/>
            </w:pPr>
            <w:r/>
            <w:r>
              <w:rPr>
                <w:rFonts w:ascii="Aptos" w:hAnsi="Aptos"/>
                <w:b/>
                <w:color w:val="FFFFFF"/>
                <w:sz w:val="15"/>
              </w:rPr>
              <w:t>Boundary</w:t>
            </w:r>
          </w:p>
        </w:tc>
      </w:tr>
      <w:tr>
        <w:tc>
          <w:tcPr>
            <w:tcW w:type="dxa" w:w="1944"/>
            <w:vAlign w:val="center"/>
          </w:tcPr>
          <w:p>
            <w:pPr>
              <w:spacing w:after="0"/>
            </w:pPr>
            <w:r/>
            <w:r>
              <w:rPr>
                <w:rFonts w:ascii="Aptos" w:hAnsi="Aptos"/>
                <w:b w:val="0"/>
                <w:color w:val="232323"/>
                <w:sz w:val="15"/>
              </w:rPr>
              <w:t>Pattern summarization</w:t>
            </w:r>
          </w:p>
        </w:tc>
        <w:tc>
          <w:tcPr>
            <w:tcW w:type="dxa" w:w="2520"/>
            <w:vAlign w:val="center"/>
          </w:tcPr>
          <w:p>
            <w:pPr>
              <w:spacing w:after="0"/>
            </w:pPr>
            <w:r/>
            <w:r>
              <w:rPr>
                <w:rFonts w:ascii="Aptos" w:hAnsi="Aptos"/>
                <w:b w:val="0"/>
                <w:color w:val="232323"/>
                <w:sz w:val="15"/>
              </w:rPr>
              <w:t>Structured logs</w:t>
            </w:r>
          </w:p>
        </w:tc>
        <w:tc>
          <w:tcPr>
            <w:tcW w:type="dxa" w:w="3528"/>
            <w:vAlign w:val="center"/>
          </w:tcPr>
          <w:p>
            <w:pPr>
              <w:spacing w:after="0"/>
            </w:pPr>
            <w:r/>
            <w:r>
              <w:rPr>
                <w:rFonts w:ascii="Aptos" w:hAnsi="Aptos"/>
                <w:b w:val="0"/>
                <w:color w:val="232323"/>
                <w:sz w:val="15"/>
              </w:rPr>
              <w:t>Weekly behavioral pattern summary</w:t>
            </w:r>
          </w:p>
        </w:tc>
        <w:tc>
          <w:tcPr>
            <w:tcW w:type="dxa" w:w="2664"/>
            <w:vAlign w:val="center"/>
          </w:tcPr>
          <w:p>
            <w:pPr>
              <w:spacing w:after="0"/>
            </w:pPr>
            <w:r/>
            <w:r>
              <w:rPr>
                <w:rFonts w:ascii="Aptos" w:hAnsi="Aptos"/>
                <w:b w:val="0"/>
                <w:color w:val="232323"/>
                <w:sz w:val="15"/>
              </w:rPr>
              <w:t>No diagnosis</w:t>
            </w:r>
          </w:p>
        </w:tc>
      </w:tr>
      <w:tr>
        <w:tc>
          <w:tcPr>
            <w:tcW w:type="dxa" w:w="1944"/>
            <w:vAlign w:val="center"/>
            <w:shd w:fill="F5F8FB"/>
          </w:tcPr>
          <w:p>
            <w:pPr>
              <w:spacing w:after="0"/>
            </w:pPr>
            <w:r/>
            <w:r>
              <w:rPr>
                <w:rFonts w:ascii="Aptos" w:hAnsi="Aptos"/>
                <w:b w:val="0"/>
                <w:color w:val="232323"/>
                <w:sz w:val="15"/>
              </w:rPr>
              <w:t>Trend explanation</w:t>
            </w:r>
          </w:p>
        </w:tc>
        <w:tc>
          <w:tcPr>
            <w:tcW w:type="dxa" w:w="2520"/>
            <w:vAlign w:val="center"/>
            <w:shd w:fill="F5F8FB"/>
          </w:tcPr>
          <w:p>
            <w:pPr>
              <w:spacing w:after="0"/>
            </w:pPr>
            <w:r/>
            <w:r>
              <w:rPr>
                <w:rFonts w:ascii="Aptos" w:hAnsi="Aptos"/>
                <w:b w:val="0"/>
                <w:color w:val="232323"/>
                <w:sz w:val="15"/>
              </w:rPr>
              <w:t>User-selected metrics</w:t>
            </w:r>
          </w:p>
        </w:tc>
        <w:tc>
          <w:tcPr>
            <w:tcW w:type="dxa" w:w="3528"/>
            <w:vAlign w:val="center"/>
            <w:shd w:fill="F5F8FB"/>
          </w:tcPr>
          <w:p>
            <w:pPr>
              <w:spacing w:after="0"/>
            </w:pPr>
            <w:r/>
            <w:r>
              <w:rPr>
                <w:rFonts w:ascii="Aptos" w:hAnsi="Aptos"/>
                <w:b w:val="0"/>
                <w:color w:val="232323"/>
                <w:sz w:val="15"/>
              </w:rPr>
              <w:t>Plain-language explanation of changes</w:t>
            </w:r>
          </w:p>
        </w:tc>
        <w:tc>
          <w:tcPr>
            <w:tcW w:type="dxa" w:w="2664"/>
            <w:vAlign w:val="center"/>
            <w:shd w:fill="F5F8FB"/>
          </w:tcPr>
          <w:p>
            <w:pPr>
              <w:spacing w:after="0"/>
            </w:pPr>
            <w:r/>
            <w:r>
              <w:rPr>
                <w:rFonts w:ascii="Aptos" w:hAnsi="Aptos"/>
                <w:b w:val="0"/>
                <w:color w:val="232323"/>
                <w:sz w:val="15"/>
              </w:rPr>
              <w:t>No causal claims</w:t>
            </w:r>
          </w:p>
        </w:tc>
      </w:tr>
      <w:tr>
        <w:tc>
          <w:tcPr>
            <w:tcW w:type="dxa" w:w="1944"/>
            <w:vAlign w:val="center"/>
          </w:tcPr>
          <w:p>
            <w:pPr>
              <w:spacing w:after="0"/>
            </w:pPr>
            <w:r/>
            <w:r>
              <w:rPr>
                <w:rFonts w:ascii="Aptos" w:hAnsi="Aptos"/>
                <w:b w:val="0"/>
                <w:color w:val="232323"/>
                <w:sz w:val="15"/>
              </w:rPr>
              <w:t>Preparation aid</w:t>
            </w:r>
          </w:p>
        </w:tc>
        <w:tc>
          <w:tcPr>
            <w:tcW w:type="dxa" w:w="2520"/>
            <w:vAlign w:val="center"/>
          </w:tcPr>
          <w:p>
            <w:pPr>
              <w:spacing w:after="0"/>
            </w:pPr>
            <w:r/>
            <w:r>
              <w:rPr>
                <w:rFonts w:ascii="Aptos" w:hAnsi="Aptos"/>
                <w:b w:val="0"/>
                <w:color w:val="232323"/>
                <w:sz w:val="15"/>
              </w:rPr>
              <w:t>User notes</w:t>
            </w:r>
          </w:p>
        </w:tc>
        <w:tc>
          <w:tcPr>
            <w:tcW w:type="dxa" w:w="3528"/>
            <w:vAlign w:val="center"/>
          </w:tcPr>
          <w:p>
            <w:pPr>
              <w:spacing w:after="0"/>
            </w:pPr>
            <w:r/>
            <w:r>
              <w:rPr>
                <w:rFonts w:ascii="Aptos" w:hAnsi="Aptos"/>
                <w:b w:val="0"/>
                <w:color w:val="232323"/>
                <w:sz w:val="15"/>
              </w:rPr>
              <w:t>Questions to discuss with professional</w:t>
            </w:r>
          </w:p>
        </w:tc>
        <w:tc>
          <w:tcPr>
            <w:tcW w:type="dxa" w:w="2664"/>
            <w:vAlign w:val="center"/>
          </w:tcPr>
          <w:p>
            <w:pPr>
              <w:spacing w:after="0"/>
            </w:pPr>
            <w:r/>
            <w:r>
              <w:rPr>
                <w:rFonts w:ascii="Aptos" w:hAnsi="Aptos"/>
                <w:b w:val="0"/>
                <w:color w:val="232323"/>
                <w:sz w:val="15"/>
              </w:rPr>
              <w:t>No clinical decision</w:t>
            </w:r>
          </w:p>
        </w:tc>
      </w:tr>
      <w:tr>
        <w:tc>
          <w:tcPr>
            <w:tcW w:type="dxa" w:w="1944"/>
            <w:vAlign w:val="center"/>
            <w:shd w:fill="F5F8FB"/>
          </w:tcPr>
          <w:p>
            <w:pPr>
              <w:spacing w:after="0"/>
            </w:pPr>
            <w:r/>
            <w:r>
              <w:rPr>
                <w:rFonts w:ascii="Aptos" w:hAnsi="Aptos"/>
                <w:b w:val="0"/>
                <w:color w:val="232323"/>
                <w:sz w:val="15"/>
              </w:rPr>
              <w:t>Resource navigation</w:t>
            </w:r>
          </w:p>
        </w:tc>
        <w:tc>
          <w:tcPr>
            <w:tcW w:type="dxa" w:w="2520"/>
            <w:vAlign w:val="center"/>
            <w:shd w:fill="F5F8FB"/>
          </w:tcPr>
          <w:p>
            <w:pPr>
              <w:spacing w:after="0"/>
            </w:pPr>
            <w:r/>
            <w:r>
              <w:rPr>
                <w:rFonts w:ascii="Aptos" w:hAnsi="Aptos"/>
                <w:b w:val="0"/>
                <w:color w:val="232323"/>
                <w:sz w:val="15"/>
              </w:rPr>
              <w:t>Goal + broad concern</w:t>
            </w:r>
          </w:p>
        </w:tc>
        <w:tc>
          <w:tcPr>
            <w:tcW w:type="dxa" w:w="3528"/>
            <w:vAlign w:val="center"/>
            <w:shd w:fill="F5F8FB"/>
          </w:tcPr>
          <w:p>
            <w:pPr>
              <w:spacing w:after="0"/>
            </w:pPr>
            <w:r/>
            <w:r>
              <w:rPr>
                <w:rFonts w:ascii="Aptos" w:hAnsi="Aptos"/>
                <w:b w:val="0"/>
                <w:color w:val="232323"/>
                <w:sz w:val="15"/>
              </w:rPr>
              <w:t>Relevant educational/resource page</w:t>
            </w:r>
          </w:p>
        </w:tc>
        <w:tc>
          <w:tcPr>
            <w:tcW w:type="dxa" w:w="2664"/>
            <w:vAlign w:val="center"/>
            <w:shd w:fill="F5F8FB"/>
          </w:tcPr>
          <w:p>
            <w:pPr>
              <w:spacing w:after="0"/>
            </w:pPr>
            <w:r/>
            <w:r>
              <w:rPr>
                <w:rFonts w:ascii="Aptos" w:hAnsi="Aptos"/>
                <w:b w:val="0"/>
                <w:color w:val="232323"/>
                <w:sz w:val="15"/>
              </w:rPr>
              <w:t>No individualized treatment plan</w:t>
            </w:r>
          </w:p>
        </w:tc>
      </w:tr>
      <w:tr>
        <w:tc>
          <w:tcPr>
            <w:tcW w:type="dxa" w:w="1944"/>
            <w:vAlign w:val="center"/>
          </w:tcPr>
          <w:p>
            <w:pPr>
              <w:spacing w:after="0"/>
            </w:pPr>
            <w:r/>
            <w:r>
              <w:rPr>
                <w:rFonts w:ascii="Aptos" w:hAnsi="Aptos"/>
                <w:b w:val="0"/>
                <w:color w:val="232323"/>
                <w:sz w:val="15"/>
              </w:rPr>
              <w:t>Data extraction</w:t>
            </w:r>
          </w:p>
        </w:tc>
        <w:tc>
          <w:tcPr>
            <w:tcW w:type="dxa" w:w="2520"/>
            <w:vAlign w:val="center"/>
          </w:tcPr>
          <w:p>
            <w:pPr>
              <w:spacing w:after="0"/>
            </w:pPr>
            <w:r/>
            <w:r>
              <w:rPr>
                <w:rFonts w:ascii="Aptos" w:hAnsi="Aptos"/>
                <w:b w:val="0"/>
                <w:color w:val="232323"/>
                <w:sz w:val="15"/>
              </w:rPr>
              <w:t>Consent-selected journal entries</w:t>
            </w:r>
          </w:p>
        </w:tc>
        <w:tc>
          <w:tcPr>
            <w:tcW w:type="dxa" w:w="3528"/>
            <w:vAlign w:val="center"/>
          </w:tcPr>
          <w:p>
            <w:pPr>
              <w:spacing w:after="0"/>
            </w:pPr>
            <w:r/>
            <w:r>
              <w:rPr>
                <w:rFonts w:ascii="Aptos" w:hAnsi="Aptos"/>
                <w:b w:val="0"/>
                <w:color w:val="232323"/>
                <w:sz w:val="15"/>
              </w:rPr>
              <w:t>Structured fields/tags</w:t>
            </w:r>
          </w:p>
        </w:tc>
        <w:tc>
          <w:tcPr>
            <w:tcW w:type="dxa" w:w="2664"/>
            <w:vAlign w:val="center"/>
          </w:tcPr>
          <w:p>
            <w:pPr>
              <w:spacing w:after="0"/>
            </w:pPr>
            <w:r/>
            <w:r>
              <w:rPr>
                <w:rFonts w:ascii="Aptos" w:hAnsi="Aptos"/>
                <w:b w:val="0"/>
                <w:color w:val="232323"/>
                <w:sz w:val="15"/>
              </w:rPr>
              <w:t>User can edit/delete</w:t>
            </w:r>
          </w:p>
        </w:tc>
      </w:tr>
      <w:tr>
        <w:tc>
          <w:tcPr>
            <w:tcW w:type="dxa" w:w="1944"/>
            <w:vAlign w:val="center"/>
            <w:shd w:fill="F5F8FB"/>
          </w:tcPr>
          <w:p>
            <w:pPr>
              <w:spacing w:after="0"/>
            </w:pPr>
            <w:r/>
            <w:r>
              <w:rPr>
                <w:rFonts w:ascii="Aptos" w:hAnsi="Aptos"/>
                <w:b w:val="0"/>
                <w:color w:val="232323"/>
                <w:sz w:val="15"/>
              </w:rPr>
              <w:t>Professional briefing</w:t>
            </w:r>
          </w:p>
        </w:tc>
        <w:tc>
          <w:tcPr>
            <w:tcW w:type="dxa" w:w="2520"/>
            <w:vAlign w:val="center"/>
            <w:shd w:fill="F5F8FB"/>
          </w:tcPr>
          <w:p>
            <w:pPr>
              <w:spacing w:after="0"/>
            </w:pPr>
            <w:r/>
            <w:r>
              <w:rPr>
                <w:rFonts w:ascii="Aptos" w:hAnsi="Aptos"/>
                <w:b w:val="0"/>
                <w:color w:val="232323"/>
                <w:sz w:val="15"/>
              </w:rPr>
              <w:t>Consent-authorized logs</w:t>
            </w:r>
          </w:p>
        </w:tc>
        <w:tc>
          <w:tcPr>
            <w:tcW w:type="dxa" w:w="3528"/>
            <w:vAlign w:val="center"/>
            <w:shd w:fill="F5F8FB"/>
          </w:tcPr>
          <w:p>
            <w:pPr>
              <w:spacing w:after="0"/>
            </w:pPr>
            <w:r/>
            <w:r>
              <w:rPr>
                <w:rFonts w:ascii="Aptos" w:hAnsi="Aptos"/>
                <w:b w:val="0"/>
                <w:color w:val="232323"/>
                <w:sz w:val="15"/>
              </w:rPr>
              <w:t>Compact timeline + trends</w:t>
            </w:r>
          </w:p>
        </w:tc>
        <w:tc>
          <w:tcPr>
            <w:tcW w:type="dxa" w:w="2664"/>
            <w:vAlign w:val="center"/>
            <w:shd w:fill="F5F8FB"/>
          </w:tcPr>
          <w:p>
            <w:pPr>
              <w:spacing w:after="0"/>
            </w:pPr>
            <w:r/>
            <w:r>
              <w:rPr>
                <w:rFonts w:ascii="Aptos" w:hAnsi="Aptos"/>
                <w:b w:val="0"/>
                <w:color w:val="232323"/>
                <w:sz w:val="15"/>
              </w:rPr>
              <w:t>Professional verifies context</w:t>
            </w:r>
          </w:p>
        </w:tc>
      </w:tr>
    </w:tbl>
    <w:p/>
    <w:p>
      <w:pPr>
        <w:pStyle w:val="Heading2"/>
      </w:pPr>
      <w:r>
        <w:t>7.2 AI should NOT do in the MVP</w:t>
      </w:r>
    </w:p>
    <w:p>
      <w:pPr>
        <w:pStyle w:val="ListBullet"/>
        <w:spacing w:after="40"/>
      </w:pPr>
      <w:r>
        <w:t>Diagnose OCD, anxiety, depression, PTSD or any other disorder.</w:t>
      </w:r>
    </w:p>
    <w:p>
      <w:pPr>
        <w:pStyle w:val="ListBullet"/>
        <w:spacing w:after="40"/>
      </w:pPr>
      <w:r>
        <w:t>Generate individualized medication advice, dosages or medication changes.</w:t>
      </w:r>
    </w:p>
    <w:p>
      <w:pPr>
        <w:pStyle w:val="ListBullet"/>
        <w:spacing w:after="40"/>
      </w:pPr>
      <w:r>
        <w:t>Provide reassurance in response to repeated intrusive-thought questions.</w:t>
      </w:r>
    </w:p>
    <w:p>
      <w:pPr>
        <w:pStyle w:val="ListBullet"/>
        <w:spacing w:after="40"/>
      </w:pPr>
      <w:r>
        <w:t>Determine suicide/self-harm risk autonomously or claim to resolve an emergency.</w:t>
      </w:r>
    </w:p>
    <w:p>
      <w:pPr>
        <w:pStyle w:val="ListBullet"/>
        <w:spacing w:after="40"/>
      </w:pPr>
      <w:r>
        <w:t>Automatically prescribe graded exposure hierarchies without professional oversight.</w:t>
      </w:r>
    </w:p>
    <w:p>
      <w:pPr>
        <w:pStyle w:val="ListBullet"/>
        <w:spacing w:after="40"/>
      </w:pPr>
      <w:r>
        <w:t>Infer sensitive mental-health traits from unrelated data such as browsing behavior.</w:t>
      </w:r>
    </w:p>
    <w:p>
      <w:pPr>
        <w:pStyle w:val="Heading2"/>
      </w:pPr>
      <w:r>
        <w:t>7.3 Explainability</w:t>
      </w:r>
    </w:p>
    <w:p>
      <w:r>
        <w:t>Every AI insight should be traceable to user-provided metrics. Example: 'You logged avoidance in 4 of 7 social situations this week.' Avoid black-box statements such as 'your anxiety is getting worse.' The first is an auditable observation; the second is an interpretation that may require context.</w:t>
      </w:r>
    </w:p>
    <w:p>
      <w:pPr>
        <w:pStyle w:val="Heading1"/>
      </w:pPr>
      <w:r>
        <w:t>8. Technical Architecture and AWS Plan</w:t>
      </w:r>
    </w:p>
    <w:p>
      <w:r>
        <w:t>Because the hackathon's Ship It track explicitly judges deployed AWS projects and includes architecture/cost decisions, the AWS architecture should be integral to the product rather than decorative. [1][2]</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00"/>
            <w:vAlign w:val="center"/>
            <w:shd w:fill="304F73"/>
          </w:tcPr>
          <w:p>
            <w:pPr>
              <w:spacing w:after="0"/>
            </w:pPr>
            <w:r/>
            <w:r>
              <w:rPr>
                <w:rFonts w:ascii="Aptos" w:hAnsi="Aptos"/>
                <w:b/>
                <w:color w:val="FFFFFF"/>
                <w:sz w:val="16"/>
              </w:rPr>
              <w:t>Layer</w:t>
            </w:r>
          </w:p>
        </w:tc>
        <w:tc>
          <w:tcPr>
            <w:tcW w:type="dxa" w:w="2592"/>
            <w:vAlign w:val="center"/>
            <w:shd w:fill="304F73"/>
          </w:tcPr>
          <w:p>
            <w:pPr>
              <w:spacing w:after="0"/>
            </w:pPr>
            <w:r/>
            <w:r>
              <w:rPr>
                <w:rFonts w:ascii="Aptos" w:hAnsi="Aptos"/>
                <w:b/>
                <w:color w:val="FFFFFF"/>
                <w:sz w:val="16"/>
              </w:rPr>
              <w:t>AWS service</w:t>
            </w:r>
          </w:p>
        </w:tc>
        <w:tc>
          <w:tcPr>
            <w:tcW w:type="dxa" w:w="6192"/>
            <w:vAlign w:val="center"/>
            <w:shd w:fill="304F73"/>
          </w:tcPr>
          <w:p>
            <w:pPr>
              <w:spacing w:after="0"/>
            </w:pPr>
            <w:r/>
            <w:r>
              <w:rPr>
                <w:rFonts w:ascii="Aptos" w:hAnsi="Aptos"/>
                <w:b/>
                <w:color w:val="FFFFFF"/>
                <w:sz w:val="16"/>
              </w:rPr>
              <w:t>Role in Between Sessions</w:t>
            </w:r>
          </w:p>
        </w:tc>
      </w:tr>
      <w:tr>
        <w:tc>
          <w:tcPr>
            <w:tcW w:type="dxa" w:w="1800"/>
            <w:vAlign w:val="center"/>
          </w:tcPr>
          <w:p>
            <w:pPr>
              <w:spacing w:after="0"/>
            </w:pPr>
            <w:r/>
            <w:r>
              <w:rPr>
                <w:rFonts w:ascii="Aptos" w:hAnsi="Aptos"/>
                <w:b w:val="0"/>
                <w:color w:val="232323"/>
                <w:sz w:val="16"/>
              </w:rPr>
              <w:t>Frontend</w:t>
            </w:r>
          </w:p>
        </w:tc>
        <w:tc>
          <w:tcPr>
            <w:tcW w:type="dxa" w:w="2592"/>
            <w:vAlign w:val="center"/>
          </w:tcPr>
          <w:p>
            <w:pPr>
              <w:spacing w:after="0"/>
            </w:pPr>
            <w:r/>
            <w:r>
              <w:rPr>
                <w:rFonts w:ascii="Aptos" w:hAnsi="Aptos"/>
                <w:b w:val="0"/>
                <w:color w:val="232323"/>
                <w:sz w:val="16"/>
              </w:rPr>
              <w:t>AWS Amplify Hosting / S3 + CloudFront</w:t>
            </w:r>
          </w:p>
        </w:tc>
        <w:tc>
          <w:tcPr>
            <w:tcW w:type="dxa" w:w="6192"/>
            <w:vAlign w:val="center"/>
          </w:tcPr>
          <w:p>
            <w:pPr>
              <w:spacing w:after="0"/>
            </w:pPr>
            <w:r/>
            <w:r>
              <w:rPr>
                <w:rFonts w:ascii="Aptos" w:hAnsi="Aptos"/>
                <w:b w:val="0"/>
                <w:color w:val="232323"/>
                <w:sz w:val="16"/>
              </w:rPr>
              <w:t>Host the responsive web app and serve static assets.</w:t>
            </w:r>
          </w:p>
        </w:tc>
      </w:tr>
      <w:tr>
        <w:tc>
          <w:tcPr>
            <w:tcW w:type="dxa" w:w="1800"/>
            <w:vAlign w:val="center"/>
            <w:shd w:fill="F5F8FB"/>
          </w:tcPr>
          <w:p>
            <w:pPr>
              <w:spacing w:after="0"/>
            </w:pPr>
            <w:r/>
            <w:r>
              <w:rPr>
                <w:rFonts w:ascii="Aptos" w:hAnsi="Aptos"/>
                <w:b w:val="0"/>
                <w:color w:val="232323"/>
                <w:sz w:val="16"/>
              </w:rPr>
              <w:t>Authentication</w:t>
            </w:r>
          </w:p>
        </w:tc>
        <w:tc>
          <w:tcPr>
            <w:tcW w:type="dxa" w:w="2592"/>
            <w:vAlign w:val="center"/>
            <w:shd w:fill="F5F8FB"/>
          </w:tcPr>
          <w:p>
            <w:pPr>
              <w:spacing w:after="0"/>
            </w:pPr>
            <w:r/>
            <w:r>
              <w:rPr>
                <w:rFonts w:ascii="Aptos" w:hAnsi="Aptos"/>
                <w:b w:val="0"/>
                <w:color w:val="232323"/>
                <w:sz w:val="16"/>
              </w:rPr>
              <w:t>Amazon Cognito</w:t>
            </w:r>
          </w:p>
        </w:tc>
        <w:tc>
          <w:tcPr>
            <w:tcW w:type="dxa" w:w="6192"/>
            <w:vAlign w:val="center"/>
            <w:shd w:fill="F5F8FB"/>
          </w:tcPr>
          <w:p>
            <w:pPr>
              <w:spacing w:after="0"/>
            </w:pPr>
            <w:r/>
            <w:r>
              <w:rPr>
                <w:rFonts w:ascii="Aptos" w:hAnsi="Aptos"/>
                <w:b w:val="0"/>
                <w:color w:val="232323"/>
                <w:sz w:val="16"/>
              </w:rPr>
              <w:t>User/practitioner login, MFA-ready identity and role boundaries.</w:t>
            </w:r>
          </w:p>
        </w:tc>
      </w:tr>
      <w:tr>
        <w:tc>
          <w:tcPr>
            <w:tcW w:type="dxa" w:w="1800"/>
            <w:vAlign w:val="center"/>
          </w:tcPr>
          <w:p>
            <w:pPr>
              <w:spacing w:after="0"/>
            </w:pPr>
            <w:r/>
            <w:r>
              <w:rPr>
                <w:rFonts w:ascii="Aptos" w:hAnsi="Aptos"/>
                <w:b w:val="0"/>
                <w:color w:val="232323"/>
                <w:sz w:val="16"/>
              </w:rPr>
              <w:t>API</w:t>
            </w:r>
          </w:p>
        </w:tc>
        <w:tc>
          <w:tcPr>
            <w:tcW w:type="dxa" w:w="2592"/>
            <w:vAlign w:val="center"/>
          </w:tcPr>
          <w:p>
            <w:pPr>
              <w:spacing w:after="0"/>
            </w:pPr>
            <w:r/>
            <w:r>
              <w:rPr>
                <w:rFonts w:ascii="Aptos" w:hAnsi="Aptos"/>
                <w:b w:val="0"/>
                <w:color w:val="232323"/>
                <w:sz w:val="16"/>
              </w:rPr>
              <w:t>API Gateway</w:t>
            </w:r>
          </w:p>
        </w:tc>
        <w:tc>
          <w:tcPr>
            <w:tcW w:type="dxa" w:w="6192"/>
            <w:vAlign w:val="center"/>
          </w:tcPr>
          <w:p>
            <w:pPr>
              <w:spacing w:after="0"/>
            </w:pPr>
            <w:r/>
            <w:r>
              <w:rPr>
                <w:rFonts w:ascii="Aptos" w:hAnsi="Aptos"/>
                <w:b w:val="0"/>
                <w:color w:val="232323"/>
                <w:sz w:val="16"/>
              </w:rPr>
              <w:t>Secure API endpoints between frontend and backend.</w:t>
            </w:r>
          </w:p>
        </w:tc>
      </w:tr>
      <w:tr>
        <w:tc>
          <w:tcPr>
            <w:tcW w:type="dxa" w:w="1800"/>
            <w:vAlign w:val="center"/>
            <w:shd w:fill="F5F8FB"/>
          </w:tcPr>
          <w:p>
            <w:pPr>
              <w:spacing w:after="0"/>
            </w:pPr>
            <w:r/>
            <w:r>
              <w:rPr>
                <w:rFonts w:ascii="Aptos" w:hAnsi="Aptos"/>
                <w:b w:val="0"/>
                <w:color w:val="232323"/>
                <w:sz w:val="16"/>
              </w:rPr>
              <w:t>Business logic</w:t>
            </w:r>
          </w:p>
        </w:tc>
        <w:tc>
          <w:tcPr>
            <w:tcW w:type="dxa" w:w="2592"/>
            <w:vAlign w:val="center"/>
            <w:shd w:fill="F5F8FB"/>
          </w:tcPr>
          <w:p>
            <w:pPr>
              <w:spacing w:after="0"/>
            </w:pPr>
            <w:r/>
            <w:r>
              <w:rPr>
                <w:rFonts w:ascii="Aptos" w:hAnsi="Aptos"/>
                <w:b w:val="0"/>
                <w:color w:val="232323"/>
                <w:sz w:val="16"/>
              </w:rPr>
              <w:t>AWS Lambda</w:t>
            </w:r>
          </w:p>
        </w:tc>
        <w:tc>
          <w:tcPr>
            <w:tcW w:type="dxa" w:w="6192"/>
            <w:vAlign w:val="center"/>
            <w:shd w:fill="F5F8FB"/>
          </w:tcPr>
          <w:p>
            <w:pPr>
              <w:spacing w:after="0"/>
            </w:pPr>
            <w:r/>
            <w:r>
              <w:rPr>
                <w:rFonts w:ascii="Aptos" w:hAnsi="Aptos"/>
                <w:b w:val="0"/>
                <w:color w:val="232323"/>
                <w:sz w:val="16"/>
              </w:rPr>
              <w:t>Journal, consent, matching, professional requests and analytics functions.</w:t>
            </w:r>
          </w:p>
        </w:tc>
      </w:tr>
      <w:tr>
        <w:tc>
          <w:tcPr>
            <w:tcW w:type="dxa" w:w="1800"/>
            <w:vAlign w:val="center"/>
          </w:tcPr>
          <w:p>
            <w:pPr>
              <w:spacing w:after="0"/>
            </w:pPr>
            <w:r/>
            <w:r>
              <w:rPr>
                <w:rFonts w:ascii="Aptos" w:hAnsi="Aptos"/>
                <w:b w:val="0"/>
                <w:color w:val="232323"/>
                <w:sz w:val="16"/>
              </w:rPr>
              <w:t>Primary database</w:t>
            </w:r>
          </w:p>
        </w:tc>
        <w:tc>
          <w:tcPr>
            <w:tcW w:type="dxa" w:w="2592"/>
            <w:vAlign w:val="center"/>
          </w:tcPr>
          <w:p>
            <w:pPr>
              <w:spacing w:after="0"/>
            </w:pPr>
            <w:r/>
            <w:r>
              <w:rPr>
                <w:rFonts w:ascii="Aptos" w:hAnsi="Aptos"/>
                <w:b w:val="0"/>
                <w:color w:val="232323"/>
                <w:sz w:val="16"/>
              </w:rPr>
              <w:t>DynamoDB</w:t>
            </w:r>
          </w:p>
        </w:tc>
        <w:tc>
          <w:tcPr>
            <w:tcW w:type="dxa" w:w="6192"/>
            <w:vAlign w:val="center"/>
          </w:tcPr>
          <w:p>
            <w:pPr>
              <w:spacing w:after="0"/>
            </w:pPr>
            <w:r/>
            <w:r>
              <w:rPr>
                <w:rFonts w:ascii="Aptos" w:hAnsi="Aptos"/>
                <w:b w:val="0"/>
                <w:color w:val="232323"/>
                <w:sz w:val="16"/>
              </w:rPr>
              <w:t>Users, consent records, logs, professional links, aggregate counters.</w:t>
            </w:r>
          </w:p>
        </w:tc>
      </w:tr>
      <w:tr>
        <w:tc>
          <w:tcPr>
            <w:tcW w:type="dxa" w:w="1800"/>
            <w:vAlign w:val="center"/>
            <w:shd w:fill="F5F8FB"/>
          </w:tcPr>
          <w:p>
            <w:pPr>
              <w:spacing w:after="0"/>
            </w:pPr>
            <w:r/>
            <w:r>
              <w:rPr>
                <w:rFonts w:ascii="Aptos" w:hAnsi="Aptos"/>
                <w:b w:val="0"/>
                <w:color w:val="232323"/>
                <w:sz w:val="16"/>
              </w:rPr>
              <w:t>AI</w:t>
            </w:r>
          </w:p>
        </w:tc>
        <w:tc>
          <w:tcPr>
            <w:tcW w:type="dxa" w:w="2592"/>
            <w:vAlign w:val="center"/>
            <w:shd w:fill="F5F8FB"/>
          </w:tcPr>
          <w:p>
            <w:pPr>
              <w:spacing w:after="0"/>
            </w:pPr>
            <w:r/>
            <w:r>
              <w:rPr>
                <w:rFonts w:ascii="Aptos" w:hAnsi="Aptos"/>
                <w:b w:val="0"/>
                <w:color w:val="232323"/>
                <w:sz w:val="16"/>
              </w:rPr>
              <w:t>Amazon Bedrock</w:t>
            </w:r>
          </w:p>
        </w:tc>
        <w:tc>
          <w:tcPr>
            <w:tcW w:type="dxa" w:w="6192"/>
            <w:vAlign w:val="center"/>
            <w:shd w:fill="F5F8FB"/>
          </w:tcPr>
          <w:p>
            <w:pPr>
              <w:spacing w:after="0"/>
            </w:pPr>
            <w:r/>
            <w:r>
              <w:rPr>
                <w:rFonts w:ascii="Aptos" w:hAnsi="Aptos"/>
                <w:b w:val="0"/>
                <w:color w:val="232323"/>
                <w:sz w:val="16"/>
              </w:rPr>
              <w:t>Controlled LLM workflows for summarization/navigation.</w:t>
            </w:r>
          </w:p>
        </w:tc>
      </w:tr>
      <w:tr>
        <w:tc>
          <w:tcPr>
            <w:tcW w:type="dxa" w:w="1800"/>
            <w:vAlign w:val="center"/>
          </w:tcPr>
          <w:p>
            <w:pPr>
              <w:spacing w:after="0"/>
            </w:pPr>
            <w:r/>
            <w:r>
              <w:rPr>
                <w:rFonts w:ascii="Aptos" w:hAnsi="Aptos"/>
                <w:b w:val="0"/>
                <w:color w:val="232323"/>
                <w:sz w:val="16"/>
              </w:rPr>
              <w:t>Events</w:t>
            </w:r>
          </w:p>
        </w:tc>
        <w:tc>
          <w:tcPr>
            <w:tcW w:type="dxa" w:w="2592"/>
            <w:vAlign w:val="center"/>
          </w:tcPr>
          <w:p>
            <w:pPr>
              <w:spacing w:after="0"/>
            </w:pPr>
            <w:r/>
            <w:r>
              <w:rPr>
                <w:rFonts w:ascii="Aptos" w:hAnsi="Aptos"/>
                <w:b w:val="0"/>
                <w:color w:val="232323"/>
                <w:sz w:val="16"/>
              </w:rPr>
              <w:t>EventBridge</w:t>
            </w:r>
          </w:p>
        </w:tc>
        <w:tc>
          <w:tcPr>
            <w:tcW w:type="dxa" w:w="6192"/>
            <w:vAlign w:val="center"/>
          </w:tcPr>
          <w:p>
            <w:pPr>
              <w:spacing w:after="0"/>
            </w:pPr>
            <w:r/>
            <w:r>
              <w:rPr>
                <w:rFonts w:ascii="Aptos" w:hAnsi="Aptos"/>
                <w:b w:val="0"/>
                <w:color w:val="232323"/>
                <w:sz w:val="16"/>
              </w:rPr>
              <w:t>Weekly summary generation, reminders and background processing.</w:t>
            </w:r>
          </w:p>
        </w:tc>
      </w:tr>
      <w:tr>
        <w:tc>
          <w:tcPr>
            <w:tcW w:type="dxa" w:w="1800"/>
            <w:vAlign w:val="center"/>
            <w:shd w:fill="F5F8FB"/>
          </w:tcPr>
          <w:p>
            <w:pPr>
              <w:spacing w:after="0"/>
            </w:pPr>
            <w:r/>
            <w:r>
              <w:rPr>
                <w:rFonts w:ascii="Aptos" w:hAnsi="Aptos"/>
                <w:b w:val="0"/>
                <w:color w:val="232323"/>
                <w:sz w:val="16"/>
              </w:rPr>
              <w:t>Workflow</w:t>
            </w:r>
          </w:p>
        </w:tc>
        <w:tc>
          <w:tcPr>
            <w:tcW w:type="dxa" w:w="2592"/>
            <w:vAlign w:val="center"/>
            <w:shd w:fill="F5F8FB"/>
          </w:tcPr>
          <w:p>
            <w:pPr>
              <w:spacing w:after="0"/>
            </w:pPr>
            <w:r/>
            <w:r>
              <w:rPr>
                <w:rFonts w:ascii="Aptos" w:hAnsi="Aptos"/>
                <w:b w:val="0"/>
                <w:color w:val="232323"/>
                <w:sz w:val="16"/>
              </w:rPr>
              <w:t>Step Functions (future)</w:t>
            </w:r>
          </w:p>
        </w:tc>
        <w:tc>
          <w:tcPr>
            <w:tcW w:type="dxa" w:w="6192"/>
            <w:vAlign w:val="center"/>
            <w:shd w:fill="F5F8FB"/>
          </w:tcPr>
          <w:p>
            <w:pPr>
              <w:spacing w:after="0"/>
            </w:pPr>
            <w:r/>
            <w:r>
              <w:rPr>
                <w:rFonts w:ascii="Aptos" w:hAnsi="Aptos"/>
                <w:b w:val="0"/>
                <w:color w:val="232323"/>
                <w:sz w:val="16"/>
              </w:rPr>
              <w:t>Multi-step verification / referral / asynchronous jobs.</w:t>
            </w:r>
          </w:p>
        </w:tc>
      </w:tr>
      <w:tr>
        <w:tc>
          <w:tcPr>
            <w:tcW w:type="dxa" w:w="1800"/>
            <w:vAlign w:val="center"/>
          </w:tcPr>
          <w:p>
            <w:pPr>
              <w:spacing w:after="0"/>
            </w:pPr>
            <w:r/>
            <w:r>
              <w:rPr>
                <w:rFonts w:ascii="Aptos" w:hAnsi="Aptos"/>
                <w:b w:val="0"/>
                <w:color w:val="232323"/>
                <w:sz w:val="16"/>
              </w:rPr>
              <w:t>Search</w:t>
            </w:r>
          </w:p>
        </w:tc>
        <w:tc>
          <w:tcPr>
            <w:tcW w:type="dxa" w:w="2592"/>
            <w:vAlign w:val="center"/>
          </w:tcPr>
          <w:p>
            <w:pPr>
              <w:spacing w:after="0"/>
            </w:pPr>
            <w:r/>
            <w:r>
              <w:rPr>
                <w:rFonts w:ascii="Aptos" w:hAnsi="Aptos"/>
                <w:b w:val="0"/>
                <w:color w:val="232323"/>
                <w:sz w:val="16"/>
              </w:rPr>
              <w:t>OpenSearch (future)</w:t>
            </w:r>
          </w:p>
        </w:tc>
        <w:tc>
          <w:tcPr>
            <w:tcW w:type="dxa" w:w="6192"/>
            <w:vAlign w:val="center"/>
          </w:tcPr>
          <w:p>
            <w:pPr>
              <w:spacing w:after="0"/>
            </w:pPr>
            <w:r/>
            <w:r>
              <w:rPr>
                <w:rFonts w:ascii="Aptos" w:hAnsi="Aptos"/>
                <w:b w:val="0"/>
                <w:color w:val="232323"/>
                <w:sz w:val="16"/>
              </w:rPr>
              <w:t>Resource and practitioner search at scale.</w:t>
            </w:r>
          </w:p>
        </w:tc>
      </w:tr>
      <w:tr>
        <w:tc>
          <w:tcPr>
            <w:tcW w:type="dxa" w:w="1800"/>
            <w:vAlign w:val="center"/>
            <w:shd w:fill="F5F8FB"/>
          </w:tcPr>
          <w:p>
            <w:pPr>
              <w:spacing w:after="0"/>
            </w:pPr>
            <w:r/>
            <w:r>
              <w:rPr>
                <w:rFonts w:ascii="Aptos" w:hAnsi="Aptos"/>
                <w:b w:val="0"/>
                <w:color w:val="232323"/>
                <w:sz w:val="16"/>
              </w:rPr>
              <w:t>Authorization</w:t>
            </w:r>
          </w:p>
        </w:tc>
        <w:tc>
          <w:tcPr>
            <w:tcW w:type="dxa" w:w="2592"/>
            <w:vAlign w:val="center"/>
            <w:shd w:fill="F5F8FB"/>
          </w:tcPr>
          <w:p>
            <w:pPr>
              <w:spacing w:after="0"/>
            </w:pPr>
            <w:r/>
            <w:r>
              <w:rPr>
                <w:rFonts w:ascii="Aptos" w:hAnsi="Aptos"/>
                <w:b w:val="0"/>
                <w:color w:val="232323"/>
                <w:sz w:val="16"/>
              </w:rPr>
              <w:t>Cedar / Verified Permissions (future)</w:t>
            </w:r>
          </w:p>
        </w:tc>
        <w:tc>
          <w:tcPr>
            <w:tcW w:type="dxa" w:w="6192"/>
            <w:vAlign w:val="center"/>
            <w:shd w:fill="F5F8FB"/>
          </w:tcPr>
          <w:p>
            <w:pPr>
              <w:spacing w:after="0"/>
            </w:pPr>
            <w:r/>
            <w:r>
              <w:rPr>
                <w:rFonts w:ascii="Aptos" w:hAnsi="Aptos"/>
                <w:b w:val="0"/>
                <w:color w:val="232323"/>
                <w:sz w:val="16"/>
              </w:rPr>
              <w:t>Policy-based fine-grained authorization for practitioner access.</w:t>
            </w:r>
          </w:p>
        </w:tc>
      </w:tr>
      <w:tr>
        <w:tc>
          <w:tcPr>
            <w:tcW w:type="dxa" w:w="1800"/>
            <w:vAlign w:val="center"/>
          </w:tcPr>
          <w:p>
            <w:pPr>
              <w:spacing w:after="0"/>
            </w:pPr>
            <w:r/>
            <w:r>
              <w:rPr>
                <w:rFonts w:ascii="Aptos" w:hAnsi="Aptos"/>
                <w:b w:val="0"/>
                <w:color w:val="232323"/>
                <w:sz w:val="16"/>
              </w:rPr>
              <w:t>Monitoring</w:t>
            </w:r>
          </w:p>
        </w:tc>
        <w:tc>
          <w:tcPr>
            <w:tcW w:type="dxa" w:w="2592"/>
            <w:vAlign w:val="center"/>
          </w:tcPr>
          <w:p>
            <w:pPr>
              <w:spacing w:after="0"/>
            </w:pPr>
            <w:r/>
            <w:r>
              <w:rPr>
                <w:rFonts w:ascii="Aptos" w:hAnsi="Aptos"/>
                <w:b w:val="0"/>
                <w:color w:val="232323"/>
                <w:sz w:val="16"/>
              </w:rPr>
              <w:t>CloudWatch</w:t>
            </w:r>
          </w:p>
        </w:tc>
        <w:tc>
          <w:tcPr>
            <w:tcW w:type="dxa" w:w="6192"/>
            <w:vAlign w:val="center"/>
          </w:tcPr>
          <w:p>
            <w:pPr>
              <w:spacing w:after="0"/>
            </w:pPr>
            <w:r/>
            <w:r>
              <w:rPr>
                <w:rFonts w:ascii="Aptos" w:hAnsi="Aptos"/>
                <w:b w:val="0"/>
                <w:color w:val="232323"/>
                <w:sz w:val="16"/>
              </w:rPr>
              <w:t>Application logs, errors, metrics and audit signals.</w:t>
            </w:r>
          </w:p>
        </w:tc>
      </w:tr>
    </w:tbl>
    <w:p/>
    <w:p>
      <w:pPr>
        <w:pStyle w:val="Heading2"/>
      </w:pPr>
      <w:r>
        <w:t>8.1 Proposed data flow</w:t>
      </w:r>
    </w:p>
    <w:p>
      <w:r>
        <w:rPr>
          <w:rFonts w:ascii="Aptos Mono" w:hAnsi="Aptos Mono"/>
          <w:color w:val="1B2C4F"/>
          <w:sz w:val="18"/>
        </w:rPr>
        <w:t>[User]</w:t>
        <w:br/>
        <w:t xml:space="preserve">   ↓</w:t>
        <w:br/>
        <w:t>Cognito authentication</w:t>
        <w:br/>
        <w:t xml:space="preserve">   ↓</w:t>
        <w:br/>
        <w:t>Amplify web app</w:t>
        <w:br/>
        <w:t xml:space="preserve">   ↓</w:t>
        <w:br/>
        <w:t>API Gateway → Lambda → DynamoDB</w:t>
        <w:br/>
        <w:t xml:space="preserve">                    ↓</w:t>
        <w:br/>
        <w:t xml:space="preserve">               Bedrock (only on consented data)</w:t>
        <w:br/>
        <w:t xml:space="preserve">                    ↓</w:t>
        <w:br/>
        <w:t xml:space="preserve">          Pattern summary / preparation aid</w:t>
        <w:br/>
        <w:t xml:space="preserve">                    ↓</w:t>
        <w:br/>
        <w:t xml:space="preserve">         User dashboard OR professional view</w:t>
        <w:br/>
      </w:r>
    </w:p>
    <w:p>
      <w:pPr>
        <w:pStyle w:val="Heading2"/>
      </w:pPr>
      <w:r>
        <w:t>8.2 Minimum viable database entities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vAlign w:val="center"/>
            <w:shd w:fill="304F73"/>
          </w:tcPr>
          <w:p>
            <w:pPr>
              <w:spacing w:after="0"/>
            </w:pPr>
            <w:r/>
            <w:r>
              <w:rPr>
                <w:rFonts w:ascii="Aptos" w:hAnsi="Aptos"/>
                <w:b/>
                <w:color w:val="FFFFFF"/>
                <w:sz w:val="16"/>
              </w:rPr>
              <w:t>Entity</w:t>
            </w:r>
          </w:p>
        </w:tc>
        <w:tc>
          <w:tcPr>
            <w:tcW w:type="dxa" w:w="4464"/>
            <w:vAlign w:val="center"/>
            <w:shd w:fill="304F73"/>
          </w:tcPr>
          <w:p>
            <w:pPr>
              <w:spacing w:after="0"/>
            </w:pPr>
            <w:r/>
            <w:r>
              <w:rPr>
                <w:rFonts w:ascii="Aptos" w:hAnsi="Aptos"/>
                <w:b/>
                <w:color w:val="FFFFFF"/>
                <w:sz w:val="16"/>
              </w:rPr>
              <w:t>Important fields</w:t>
            </w:r>
          </w:p>
        </w:tc>
        <w:tc>
          <w:tcPr>
            <w:tcW w:type="dxa" w:w="4176"/>
            <w:vAlign w:val="center"/>
            <w:shd w:fill="304F73"/>
          </w:tcPr>
          <w:p>
            <w:pPr>
              <w:spacing w:after="0"/>
            </w:pPr>
            <w:r/>
            <w:r>
              <w:rPr>
                <w:rFonts w:ascii="Aptos" w:hAnsi="Aptos"/>
                <w:b/>
                <w:color w:val="FFFFFF"/>
                <w:sz w:val="16"/>
              </w:rPr>
              <w:t>Privacy principle</w:t>
            </w:r>
          </w:p>
        </w:tc>
      </w:tr>
      <w:tr>
        <w:tc>
          <w:tcPr>
            <w:tcW w:type="dxa" w:w="1944"/>
            <w:vAlign w:val="center"/>
          </w:tcPr>
          <w:p>
            <w:pPr>
              <w:spacing w:after="0"/>
            </w:pPr>
            <w:r/>
            <w:r>
              <w:rPr>
                <w:rFonts w:ascii="Aptos" w:hAnsi="Aptos"/>
                <w:b w:val="0"/>
                <w:color w:val="232323"/>
                <w:sz w:val="16"/>
              </w:rPr>
              <w:t>User</w:t>
            </w:r>
          </w:p>
        </w:tc>
        <w:tc>
          <w:tcPr>
            <w:tcW w:type="dxa" w:w="4464"/>
            <w:vAlign w:val="center"/>
          </w:tcPr>
          <w:p>
            <w:pPr>
              <w:spacing w:after="0"/>
            </w:pPr>
            <w:r/>
            <w:r>
              <w:rPr>
                <w:rFonts w:ascii="Aptos" w:hAnsi="Aptos"/>
                <w:b w:val="0"/>
                <w:color w:val="232323"/>
                <w:sz w:val="16"/>
              </w:rPr>
              <w:t>UserID, age band, language, preferences</w:t>
            </w:r>
          </w:p>
        </w:tc>
        <w:tc>
          <w:tcPr>
            <w:tcW w:type="dxa" w:w="4176"/>
            <w:vAlign w:val="center"/>
          </w:tcPr>
          <w:p>
            <w:pPr>
              <w:spacing w:after="0"/>
            </w:pPr>
            <w:r/>
            <w:r>
              <w:rPr>
                <w:rFonts w:ascii="Aptos" w:hAnsi="Aptos"/>
                <w:b w:val="0"/>
                <w:color w:val="232323"/>
                <w:sz w:val="16"/>
              </w:rPr>
              <w:t>Avoid unnecessary PII</w:t>
            </w:r>
          </w:p>
        </w:tc>
      </w:tr>
      <w:tr>
        <w:tc>
          <w:tcPr>
            <w:tcW w:type="dxa" w:w="1944"/>
            <w:vAlign w:val="center"/>
            <w:shd w:fill="F5F8FB"/>
          </w:tcPr>
          <w:p>
            <w:pPr>
              <w:spacing w:after="0"/>
            </w:pPr>
            <w:r/>
            <w:r>
              <w:rPr>
                <w:rFonts w:ascii="Aptos" w:hAnsi="Aptos"/>
                <w:b w:val="0"/>
                <w:color w:val="232323"/>
                <w:sz w:val="16"/>
              </w:rPr>
              <w:t>Consent</w:t>
            </w:r>
          </w:p>
        </w:tc>
        <w:tc>
          <w:tcPr>
            <w:tcW w:type="dxa" w:w="4464"/>
            <w:vAlign w:val="center"/>
            <w:shd w:fill="F5F8FB"/>
          </w:tcPr>
          <w:p>
            <w:pPr>
              <w:spacing w:after="0"/>
            </w:pPr>
            <w:r/>
            <w:r>
              <w:rPr>
                <w:rFonts w:ascii="Aptos" w:hAnsi="Aptos"/>
                <w:b w:val="0"/>
                <w:color w:val="232323"/>
                <w:sz w:val="16"/>
              </w:rPr>
              <w:t>UserID, data category, recipient, purpose, timestamp, status</w:t>
            </w:r>
          </w:p>
        </w:tc>
        <w:tc>
          <w:tcPr>
            <w:tcW w:type="dxa" w:w="4176"/>
            <w:vAlign w:val="center"/>
            <w:shd w:fill="F5F8FB"/>
          </w:tcPr>
          <w:p>
            <w:pPr>
              <w:spacing w:after="0"/>
            </w:pPr>
            <w:r/>
            <w:r>
              <w:rPr>
                <w:rFonts w:ascii="Aptos" w:hAnsi="Aptos"/>
                <w:b w:val="0"/>
                <w:color w:val="232323"/>
                <w:sz w:val="16"/>
              </w:rPr>
              <w:t>Granular + revocable</w:t>
            </w:r>
          </w:p>
        </w:tc>
      </w:tr>
      <w:tr>
        <w:tc>
          <w:tcPr>
            <w:tcW w:type="dxa" w:w="1944"/>
            <w:vAlign w:val="center"/>
          </w:tcPr>
          <w:p>
            <w:pPr>
              <w:spacing w:after="0"/>
            </w:pPr>
            <w:r/>
            <w:r>
              <w:rPr>
                <w:rFonts w:ascii="Aptos" w:hAnsi="Aptos"/>
                <w:b w:val="0"/>
                <w:color w:val="232323"/>
                <w:sz w:val="16"/>
              </w:rPr>
              <w:t>JournalEntry</w:t>
            </w:r>
          </w:p>
        </w:tc>
        <w:tc>
          <w:tcPr>
            <w:tcW w:type="dxa" w:w="4464"/>
            <w:vAlign w:val="center"/>
          </w:tcPr>
          <w:p>
            <w:pPr>
              <w:spacing w:after="0"/>
            </w:pPr>
            <w:r/>
            <w:r>
              <w:rPr>
                <w:rFonts w:ascii="Aptos" w:hAnsi="Aptos"/>
                <w:b w:val="0"/>
                <w:color w:val="232323"/>
                <w:sz w:val="16"/>
              </w:rPr>
              <w:t>EntryID, UserID, timestamp, tags, rating fields</w:t>
            </w:r>
          </w:p>
        </w:tc>
        <w:tc>
          <w:tcPr>
            <w:tcW w:type="dxa" w:w="4176"/>
            <w:vAlign w:val="center"/>
          </w:tcPr>
          <w:p>
            <w:pPr>
              <w:spacing w:after="0"/>
            </w:pPr>
            <w:r/>
            <w:r>
              <w:rPr>
                <w:rFonts w:ascii="Aptos" w:hAnsi="Aptos"/>
                <w:b w:val="0"/>
                <w:color w:val="232323"/>
                <w:sz w:val="16"/>
              </w:rPr>
              <w:t>Encrypt/protect; minimize free text</w:t>
            </w:r>
          </w:p>
        </w:tc>
      </w:tr>
      <w:tr>
        <w:tc>
          <w:tcPr>
            <w:tcW w:type="dxa" w:w="1944"/>
            <w:vAlign w:val="center"/>
            <w:shd w:fill="F5F8FB"/>
          </w:tcPr>
          <w:p>
            <w:pPr>
              <w:spacing w:after="0"/>
            </w:pPr>
            <w:r/>
            <w:r>
              <w:rPr>
                <w:rFonts w:ascii="Aptos" w:hAnsi="Aptos"/>
                <w:b w:val="0"/>
                <w:color w:val="232323"/>
                <w:sz w:val="16"/>
              </w:rPr>
              <w:t>PracticeLog</w:t>
            </w:r>
          </w:p>
        </w:tc>
        <w:tc>
          <w:tcPr>
            <w:tcW w:type="dxa" w:w="4464"/>
            <w:vAlign w:val="center"/>
            <w:shd w:fill="F5F8FB"/>
          </w:tcPr>
          <w:p>
            <w:pPr>
              <w:spacing w:after="0"/>
            </w:pPr>
            <w:r/>
            <w:r>
              <w:rPr>
                <w:rFonts w:ascii="Aptos" w:hAnsi="Aptos"/>
                <w:b w:val="0"/>
                <w:color w:val="232323"/>
                <w:sz w:val="16"/>
              </w:rPr>
              <w:t>ExerciseID, completion, pre/post rating</w:t>
            </w:r>
          </w:p>
        </w:tc>
        <w:tc>
          <w:tcPr>
            <w:tcW w:type="dxa" w:w="4176"/>
            <w:vAlign w:val="center"/>
            <w:shd w:fill="F5F8FB"/>
          </w:tcPr>
          <w:p>
            <w:pPr>
              <w:spacing w:after="0"/>
            </w:pPr>
            <w:r/>
            <w:r>
              <w:rPr>
                <w:rFonts w:ascii="Aptos" w:hAnsi="Aptos"/>
                <w:b w:val="0"/>
                <w:color w:val="232323"/>
                <w:sz w:val="16"/>
              </w:rPr>
              <w:t>Structured where possible</w:t>
            </w:r>
          </w:p>
        </w:tc>
      </w:tr>
      <w:tr>
        <w:tc>
          <w:tcPr>
            <w:tcW w:type="dxa" w:w="1944"/>
            <w:vAlign w:val="center"/>
          </w:tcPr>
          <w:p>
            <w:pPr>
              <w:spacing w:after="0"/>
            </w:pPr>
            <w:r/>
            <w:r>
              <w:rPr>
                <w:rFonts w:ascii="Aptos" w:hAnsi="Aptos"/>
                <w:b w:val="0"/>
                <w:color w:val="232323"/>
                <w:sz w:val="16"/>
              </w:rPr>
              <w:t>Practitioner</w:t>
            </w:r>
          </w:p>
        </w:tc>
        <w:tc>
          <w:tcPr>
            <w:tcW w:type="dxa" w:w="4464"/>
            <w:vAlign w:val="center"/>
          </w:tcPr>
          <w:p>
            <w:pPr>
              <w:spacing w:after="0"/>
            </w:pPr>
            <w:r/>
            <w:r>
              <w:rPr>
                <w:rFonts w:ascii="Aptos" w:hAnsi="Aptos"/>
                <w:b w:val="0"/>
                <w:color w:val="232323"/>
                <w:sz w:val="16"/>
              </w:rPr>
              <w:t>ProfessionalID, role, registration reference, specialties</w:t>
            </w:r>
          </w:p>
        </w:tc>
        <w:tc>
          <w:tcPr>
            <w:tcW w:type="dxa" w:w="4176"/>
            <w:vAlign w:val="center"/>
          </w:tcPr>
          <w:p>
            <w:pPr>
              <w:spacing w:after="0"/>
            </w:pPr>
            <w:r/>
            <w:r>
              <w:rPr>
                <w:rFonts w:ascii="Aptos" w:hAnsi="Aptos"/>
                <w:b w:val="0"/>
                <w:color w:val="232323"/>
                <w:sz w:val="16"/>
              </w:rPr>
              <w:t>Verification data restricted</w:t>
            </w:r>
          </w:p>
        </w:tc>
      </w:tr>
      <w:tr>
        <w:tc>
          <w:tcPr>
            <w:tcW w:type="dxa" w:w="1944"/>
            <w:vAlign w:val="center"/>
            <w:shd w:fill="F5F8FB"/>
          </w:tcPr>
          <w:p>
            <w:pPr>
              <w:spacing w:after="0"/>
            </w:pPr>
            <w:r/>
            <w:r>
              <w:rPr>
                <w:rFonts w:ascii="Aptos" w:hAnsi="Aptos"/>
                <w:b w:val="0"/>
                <w:color w:val="232323"/>
                <w:sz w:val="16"/>
              </w:rPr>
              <w:t>Connection</w:t>
            </w:r>
          </w:p>
        </w:tc>
        <w:tc>
          <w:tcPr>
            <w:tcW w:type="dxa" w:w="4464"/>
            <w:vAlign w:val="center"/>
            <w:shd w:fill="F5F8FB"/>
          </w:tcPr>
          <w:p>
            <w:pPr>
              <w:spacing w:after="0"/>
            </w:pPr>
            <w:r/>
            <w:r>
              <w:rPr>
                <w:rFonts w:ascii="Aptos" w:hAnsi="Aptos"/>
                <w:b w:val="0"/>
                <w:color w:val="232323"/>
                <w:sz w:val="16"/>
              </w:rPr>
              <w:t>UserID, PractitionerID, permissions, start/end</w:t>
            </w:r>
          </w:p>
        </w:tc>
        <w:tc>
          <w:tcPr>
            <w:tcW w:type="dxa" w:w="4176"/>
            <w:vAlign w:val="center"/>
            <w:shd w:fill="F5F8FB"/>
          </w:tcPr>
          <w:p>
            <w:pPr>
              <w:spacing w:after="0"/>
            </w:pPr>
            <w:r/>
            <w:r>
              <w:rPr>
                <w:rFonts w:ascii="Aptos" w:hAnsi="Aptos"/>
                <w:b w:val="0"/>
                <w:color w:val="232323"/>
                <w:sz w:val="16"/>
              </w:rPr>
              <w:t>Least privilege</w:t>
            </w:r>
          </w:p>
        </w:tc>
      </w:tr>
      <w:tr>
        <w:tc>
          <w:tcPr>
            <w:tcW w:type="dxa" w:w="1944"/>
            <w:vAlign w:val="center"/>
          </w:tcPr>
          <w:p>
            <w:pPr>
              <w:spacing w:after="0"/>
            </w:pPr>
            <w:r/>
            <w:r>
              <w:rPr>
                <w:rFonts w:ascii="Aptos" w:hAnsi="Aptos"/>
                <w:b w:val="0"/>
                <w:color w:val="232323"/>
                <w:sz w:val="16"/>
              </w:rPr>
              <w:t>AIInsight</w:t>
            </w:r>
          </w:p>
        </w:tc>
        <w:tc>
          <w:tcPr>
            <w:tcW w:type="dxa" w:w="4464"/>
            <w:vAlign w:val="center"/>
          </w:tcPr>
          <w:p>
            <w:pPr>
              <w:spacing w:after="0"/>
            </w:pPr>
            <w:r/>
            <w:r>
              <w:rPr>
                <w:rFonts w:ascii="Aptos" w:hAnsi="Aptos"/>
                <w:b w:val="0"/>
                <w:color w:val="232323"/>
                <w:sz w:val="16"/>
              </w:rPr>
              <w:t>Source metric IDs, generated summary, model/version, timestamp</w:t>
            </w:r>
          </w:p>
        </w:tc>
        <w:tc>
          <w:tcPr>
            <w:tcW w:type="dxa" w:w="4176"/>
            <w:vAlign w:val="center"/>
          </w:tcPr>
          <w:p>
            <w:pPr>
              <w:spacing w:after="0"/>
            </w:pPr>
            <w:r/>
            <w:r>
              <w:rPr>
                <w:rFonts w:ascii="Aptos" w:hAnsi="Aptos"/>
                <w:b w:val="0"/>
                <w:color w:val="232323"/>
                <w:sz w:val="16"/>
              </w:rPr>
              <w:t>Traceable + reproducible</w:t>
            </w:r>
          </w:p>
        </w:tc>
      </w:tr>
      <w:tr>
        <w:tc>
          <w:tcPr>
            <w:tcW w:type="dxa" w:w="1944"/>
            <w:vAlign w:val="center"/>
            <w:shd w:fill="F5F8FB"/>
          </w:tcPr>
          <w:p>
            <w:pPr>
              <w:spacing w:after="0"/>
            </w:pPr>
            <w:r/>
            <w:r>
              <w:rPr>
                <w:rFonts w:ascii="Aptos" w:hAnsi="Aptos"/>
                <w:b w:val="0"/>
                <w:color w:val="232323"/>
                <w:sz w:val="16"/>
              </w:rPr>
              <w:t>AuditLog</w:t>
            </w:r>
          </w:p>
        </w:tc>
        <w:tc>
          <w:tcPr>
            <w:tcW w:type="dxa" w:w="4464"/>
            <w:vAlign w:val="center"/>
            <w:shd w:fill="F5F8FB"/>
          </w:tcPr>
          <w:p>
            <w:pPr>
              <w:spacing w:after="0"/>
            </w:pPr>
            <w:r/>
            <w:r>
              <w:rPr>
                <w:rFonts w:ascii="Aptos" w:hAnsi="Aptos"/>
                <w:b w:val="0"/>
                <w:color w:val="232323"/>
                <w:sz w:val="16"/>
              </w:rPr>
              <w:t>Actor, action, object, timestamp</w:t>
            </w:r>
          </w:p>
        </w:tc>
        <w:tc>
          <w:tcPr>
            <w:tcW w:type="dxa" w:w="4176"/>
            <w:vAlign w:val="center"/>
            <w:shd w:fill="F5F8FB"/>
          </w:tcPr>
          <w:p>
            <w:pPr>
              <w:spacing w:after="0"/>
            </w:pPr>
            <w:r/>
            <w:r>
              <w:rPr>
                <w:rFonts w:ascii="Aptos" w:hAnsi="Aptos"/>
                <w:b w:val="0"/>
                <w:color w:val="232323"/>
                <w:sz w:val="16"/>
              </w:rPr>
              <w:t>Security/accountability</w:t>
            </w:r>
          </w:p>
        </w:tc>
      </w:tr>
    </w:tbl>
    <w:p/>
    <w:p>
      <w:pPr>
        <w:pStyle w:val="Heading1"/>
      </w:pPr>
      <w:r>
        <w:t>9. Privacy, Security and Responsible Health-Tech Design</w:t>
      </w:r>
    </w:p>
    <w:p>
      <w:r>
        <w:t>Mental-health information is highly sensitive even when a particular legal regime does not label it as a special category. The product should therefore adopt a stricter privacy posture than a typical social app. India's DPDP Act requires consent to be free, specific, informed, unconditional and unambiguous, limited to data necessary for the specified purpose, and gives users a right to withdraw consent; the 2025 Rules add detailed notice/security expectations with phased commencement. [10][11]</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88"/>
            <w:vAlign w:val="center"/>
            <w:shd w:fill="304F73"/>
          </w:tcPr>
          <w:p>
            <w:pPr>
              <w:spacing w:after="0"/>
            </w:pPr>
            <w:r/>
            <w:r>
              <w:rPr>
                <w:rFonts w:ascii="Aptos" w:hAnsi="Aptos"/>
                <w:b/>
                <w:color w:val="FFFFFF"/>
                <w:sz w:val="16"/>
              </w:rPr>
              <w:t>Principle</w:t>
            </w:r>
          </w:p>
        </w:tc>
        <w:tc>
          <w:tcPr>
            <w:tcW w:type="dxa" w:w="8424"/>
            <w:vAlign w:val="center"/>
            <w:shd w:fill="304F73"/>
          </w:tcPr>
          <w:p>
            <w:pPr>
              <w:spacing w:after="0"/>
            </w:pPr>
            <w:r/>
            <w:r>
              <w:rPr>
                <w:rFonts w:ascii="Aptos" w:hAnsi="Aptos"/>
                <w:b/>
                <w:color w:val="FFFFFF"/>
                <w:sz w:val="16"/>
              </w:rPr>
              <w:t>Implementation in prototype</w:t>
            </w:r>
          </w:p>
        </w:tc>
      </w:tr>
      <w:tr>
        <w:tc>
          <w:tcPr>
            <w:tcW w:type="dxa" w:w="2088"/>
            <w:vAlign w:val="center"/>
          </w:tcPr>
          <w:p>
            <w:pPr>
              <w:spacing w:after="0"/>
            </w:pPr>
            <w:r/>
            <w:r>
              <w:rPr>
                <w:rFonts w:ascii="Aptos" w:hAnsi="Aptos"/>
                <w:b w:val="0"/>
                <w:color w:val="232323"/>
                <w:sz w:val="16"/>
              </w:rPr>
              <w:t>Data minimization</w:t>
            </w:r>
          </w:p>
        </w:tc>
        <w:tc>
          <w:tcPr>
            <w:tcW w:type="dxa" w:w="8424"/>
            <w:vAlign w:val="center"/>
          </w:tcPr>
          <w:p>
            <w:pPr>
              <w:spacing w:after="0"/>
            </w:pPr>
            <w:r/>
            <w:r>
              <w:rPr>
                <w:rFonts w:ascii="Aptos" w:hAnsi="Aptos"/>
                <w:b w:val="0"/>
                <w:color w:val="232323"/>
                <w:sz w:val="16"/>
              </w:rPr>
              <w:t>Prefer ratings/tags/timestamps over long raw intrusive-thought text.</w:t>
            </w:r>
          </w:p>
        </w:tc>
      </w:tr>
      <w:tr>
        <w:tc>
          <w:tcPr>
            <w:tcW w:type="dxa" w:w="2088"/>
            <w:vAlign w:val="center"/>
            <w:shd w:fill="F5F8FB"/>
          </w:tcPr>
          <w:p>
            <w:pPr>
              <w:spacing w:after="0"/>
            </w:pPr>
            <w:r/>
            <w:r>
              <w:rPr>
                <w:rFonts w:ascii="Aptos" w:hAnsi="Aptos"/>
                <w:b w:val="0"/>
                <w:color w:val="232323"/>
                <w:sz w:val="16"/>
              </w:rPr>
              <w:t>Purpose limitation</w:t>
            </w:r>
          </w:p>
        </w:tc>
        <w:tc>
          <w:tcPr>
            <w:tcW w:type="dxa" w:w="8424"/>
            <w:vAlign w:val="center"/>
            <w:shd w:fill="F5F8FB"/>
          </w:tcPr>
          <w:p>
            <w:pPr>
              <w:spacing w:after="0"/>
            </w:pPr>
            <w:r/>
            <w:r>
              <w:rPr>
                <w:rFonts w:ascii="Aptos" w:hAnsi="Aptos"/>
                <w:b w:val="0"/>
                <w:color w:val="232323"/>
                <w:sz w:val="16"/>
              </w:rPr>
              <w:t>Separate purposes: app operation, professional sharing, AI summarization, optional research.</w:t>
            </w:r>
          </w:p>
        </w:tc>
      </w:tr>
      <w:tr>
        <w:tc>
          <w:tcPr>
            <w:tcW w:type="dxa" w:w="2088"/>
            <w:vAlign w:val="center"/>
          </w:tcPr>
          <w:p>
            <w:pPr>
              <w:spacing w:after="0"/>
            </w:pPr>
            <w:r/>
            <w:r>
              <w:rPr>
                <w:rFonts w:ascii="Aptos" w:hAnsi="Aptos"/>
                <w:b w:val="0"/>
                <w:color w:val="232323"/>
                <w:sz w:val="16"/>
              </w:rPr>
              <w:t>Granular consent</w:t>
            </w:r>
          </w:p>
        </w:tc>
        <w:tc>
          <w:tcPr>
            <w:tcW w:type="dxa" w:w="8424"/>
            <w:vAlign w:val="center"/>
          </w:tcPr>
          <w:p>
            <w:pPr>
              <w:spacing w:after="0"/>
            </w:pPr>
            <w:r/>
            <w:r>
              <w:rPr>
                <w:rFonts w:ascii="Aptos" w:hAnsi="Aptos"/>
                <w:b w:val="0"/>
                <w:color w:val="232323"/>
                <w:sz w:val="16"/>
              </w:rPr>
              <w:t>Separate toggles for professional sharing and research/analytics.</w:t>
            </w:r>
          </w:p>
        </w:tc>
      </w:tr>
      <w:tr>
        <w:tc>
          <w:tcPr>
            <w:tcW w:type="dxa" w:w="2088"/>
            <w:vAlign w:val="center"/>
            <w:shd w:fill="F5F8FB"/>
          </w:tcPr>
          <w:p>
            <w:pPr>
              <w:spacing w:after="0"/>
            </w:pPr>
            <w:r/>
            <w:r>
              <w:rPr>
                <w:rFonts w:ascii="Aptos" w:hAnsi="Aptos"/>
                <w:b w:val="0"/>
                <w:color w:val="232323"/>
                <w:sz w:val="16"/>
              </w:rPr>
              <w:t>Access control</w:t>
            </w:r>
          </w:p>
        </w:tc>
        <w:tc>
          <w:tcPr>
            <w:tcW w:type="dxa" w:w="8424"/>
            <w:vAlign w:val="center"/>
            <w:shd w:fill="F5F8FB"/>
          </w:tcPr>
          <w:p>
            <w:pPr>
              <w:spacing w:after="0"/>
            </w:pPr>
            <w:r/>
            <w:r>
              <w:rPr>
                <w:rFonts w:ascii="Aptos" w:hAnsi="Aptos"/>
                <w:b w:val="0"/>
                <w:color w:val="232323"/>
                <w:sz w:val="16"/>
              </w:rPr>
              <w:t>User sees own data; practitioner sees only consented data; admin sees only what is operationally required.</w:t>
            </w:r>
          </w:p>
        </w:tc>
      </w:tr>
      <w:tr>
        <w:tc>
          <w:tcPr>
            <w:tcW w:type="dxa" w:w="2088"/>
            <w:vAlign w:val="center"/>
          </w:tcPr>
          <w:p>
            <w:pPr>
              <w:spacing w:after="0"/>
            </w:pPr>
            <w:r/>
            <w:r>
              <w:rPr>
                <w:rFonts w:ascii="Aptos" w:hAnsi="Aptos"/>
                <w:b w:val="0"/>
                <w:color w:val="232323"/>
                <w:sz w:val="16"/>
              </w:rPr>
              <w:t>Auditability</w:t>
            </w:r>
          </w:p>
        </w:tc>
        <w:tc>
          <w:tcPr>
            <w:tcW w:type="dxa" w:w="8424"/>
            <w:vAlign w:val="center"/>
          </w:tcPr>
          <w:p>
            <w:pPr>
              <w:spacing w:after="0"/>
            </w:pPr>
            <w:r/>
            <w:r>
              <w:rPr>
                <w:rFonts w:ascii="Aptos" w:hAnsi="Aptos"/>
                <w:b w:val="0"/>
                <w:color w:val="232323"/>
                <w:sz w:val="16"/>
              </w:rPr>
              <w:t>Log access to sensitive records.</w:t>
            </w:r>
          </w:p>
        </w:tc>
      </w:tr>
      <w:tr>
        <w:tc>
          <w:tcPr>
            <w:tcW w:type="dxa" w:w="2088"/>
            <w:vAlign w:val="center"/>
            <w:shd w:fill="F5F8FB"/>
          </w:tcPr>
          <w:p>
            <w:pPr>
              <w:spacing w:after="0"/>
            </w:pPr>
            <w:r/>
            <w:r>
              <w:rPr>
                <w:rFonts w:ascii="Aptos" w:hAnsi="Aptos"/>
                <w:b w:val="0"/>
                <w:color w:val="232323"/>
                <w:sz w:val="16"/>
              </w:rPr>
              <w:t>Encryption</w:t>
            </w:r>
          </w:p>
        </w:tc>
        <w:tc>
          <w:tcPr>
            <w:tcW w:type="dxa" w:w="8424"/>
            <w:vAlign w:val="center"/>
            <w:shd w:fill="F5F8FB"/>
          </w:tcPr>
          <w:p>
            <w:pPr>
              <w:spacing w:after="0"/>
            </w:pPr>
            <w:r/>
            <w:r>
              <w:rPr>
                <w:rFonts w:ascii="Aptos" w:hAnsi="Aptos"/>
                <w:b w:val="0"/>
                <w:color w:val="232323"/>
                <w:sz w:val="16"/>
              </w:rPr>
              <w:t>TLS in transit; server-side encryption at rest; protected secrets.</w:t>
            </w:r>
          </w:p>
        </w:tc>
      </w:tr>
      <w:tr>
        <w:tc>
          <w:tcPr>
            <w:tcW w:type="dxa" w:w="2088"/>
            <w:vAlign w:val="center"/>
          </w:tcPr>
          <w:p>
            <w:pPr>
              <w:spacing w:after="0"/>
            </w:pPr>
            <w:r/>
            <w:r>
              <w:rPr>
                <w:rFonts w:ascii="Aptos" w:hAnsi="Aptos"/>
                <w:b w:val="0"/>
                <w:color w:val="232323"/>
                <w:sz w:val="16"/>
              </w:rPr>
              <w:t>Retention</w:t>
            </w:r>
          </w:p>
        </w:tc>
        <w:tc>
          <w:tcPr>
            <w:tcW w:type="dxa" w:w="8424"/>
            <w:vAlign w:val="center"/>
          </w:tcPr>
          <w:p>
            <w:pPr>
              <w:spacing w:after="0"/>
            </w:pPr>
            <w:r/>
            <w:r>
              <w:rPr>
                <w:rFonts w:ascii="Aptos" w:hAnsi="Aptos"/>
                <w:b w:val="0"/>
                <w:color w:val="232323"/>
                <w:sz w:val="16"/>
              </w:rPr>
              <w:t>Define retention schedules; do not retain data forever 'just in case'.</w:t>
            </w:r>
          </w:p>
        </w:tc>
      </w:tr>
      <w:tr>
        <w:tc>
          <w:tcPr>
            <w:tcW w:type="dxa" w:w="2088"/>
            <w:vAlign w:val="center"/>
            <w:shd w:fill="F5F8FB"/>
          </w:tcPr>
          <w:p>
            <w:pPr>
              <w:spacing w:after="0"/>
            </w:pPr>
            <w:r/>
            <w:r>
              <w:rPr>
                <w:rFonts w:ascii="Aptos" w:hAnsi="Aptos"/>
                <w:b w:val="0"/>
                <w:color w:val="232323"/>
                <w:sz w:val="16"/>
              </w:rPr>
              <w:t>Deletion/export</w:t>
            </w:r>
          </w:p>
        </w:tc>
        <w:tc>
          <w:tcPr>
            <w:tcW w:type="dxa" w:w="8424"/>
            <w:vAlign w:val="center"/>
            <w:shd w:fill="F5F8FB"/>
          </w:tcPr>
          <w:p>
            <w:pPr>
              <w:spacing w:after="0"/>
            </w:pPr>
            <w:r/>
            <w:r>
              <w:rPr>
                <w:rFonts w:ascii="Aptos" w:hAnsi="Aptos"/>
                <w:b w:val="0"/>
                <w:color w:val="232323"/>
                <w:sz w:val="16"/>
              </w:rPr>
              <w:t>Provide user controls consistent with applicable requirements and legitimate retention obligations.</w:t>
            </w:r>
          </w:p>
        </w:tc>
      </w:tr>
      <w:tr>
        <w:tc>
          <w:tcPr>
            <w:tcW w:type="dxa" w:w="2088"/>
            <w:vAlign w:val="center"/>
          </w:tcPr>
          <w:p>
            <w:pPr>
              <w:spacing w:after="0"/>
            </w:pPr>
            <w:r/>
            <w:r>
              <w:rPr>
                <w:rFonts w:ascii="Aptos" w:hAnsi="Aptos"/>
                <w:b w:val="0"/>
                <w:color w:val="232323"/>
                <w:sz w:val="16"/>
              </w:rPr>
              <w:t>AI boundaries</w:t>
            </w:r>
          </w:p>
        </w:tc>
        <w:tc>
          <w:tcPr>
            <w:tcW w:type="dxa" w:w="8424"/>
            <w:vAlign w:val="center"/>
          </w:tcPr>
          <w:p>
            <w:pPr>
              <w:spacing w:after="0"/>
            </w:pPr>
            <w:r/>
            <w:r>
              <w:rPr>
                <w:rFonts w:ascii="Aptos" w:hAnsi="Aptos"/>
                <w:b w:val="0"/>
                <w:color w:val="232323"/>
                <w:sz w:val="16"/>
              </w:rPr>
              <w:t>No model training on user data by default; explicit disclosure of where data is processed.</w:t>
            </w:r>
          </w:p>
        </w:tc>
      </w:tr>
      <w:tr>
        <w:tc>
          <w:tcPr>
            <w:tcW w:type="dxa" w:w="2088"/>
            <w:vAlign w:val="center"/>
            <w:shd w:fill="F5F8FB"/>
          </w:tcPr>
          <w:p>
            <w:pPr>
              <w:spacing w:after="0"/>
            </w:pPr>
            <w:r/>
            <w:r>
              <w:rPr>
                <w:rFonts w:ascii="Aptos" w:hAnsi="Aptos"/>
                <w:b w:val="0"/>
                <w:color w:val="232323"/>
                <w:sz w:val="16"/>
              </w:rPr>
              <w:t>Incident response</w:t>
            </w:r>
          </w:p>
        </w:tc>
        <w:tc>
          <w:tcPr>
            <w:tcW w:type="dxa" w:w="8424"/>
            <w:vAlign w:val="center"/>
            <w:shd w:fill="F5F8FB"/>
          </w:tcPr>
          <w:p>
            <w:pPr>
              <w:spacing w:after="0"/>
            </w:pPr>
            <w:r/>
            <w:r>
              <w:rPr>
                <w:rFonts w:ascii="Aptos" w:hAnsi="Aptos"/>
                <w:b w:val="0"/>
                <w:color w:val="232323"/>
                <w:sz w:val="16"/>
              </w:rPr>
              <w:t>Have a clear process for compromised accounts, unauthorized access and professional verification issues.</w:t>
            </w:r>
          </w:p>
        </w:tc>
      </w:tr>
    </w:tbl>
    <w:p/>
    <w:p>
      <w:pPr>
        <w:pStyle w:val="Heading2"/>
      </w:pPr>
      <w:r>
        <w:t>9.1 Crisis and safety design</w:t>
      </w:r>
    </w:p>
    <w:p>
      <w:pPr>
        <w:pStyle w:val="ListBullet"/>
        <w:spacing w:after="40"/>
      </w:pPr>
      <w:r>
        <w:t>Persistent access to verified emergency/public resources, including Tele-MANAS 14416 / 1800-89-14416. [4][5]</w:t>
      </w:r>
    </w:p>
    <w:p>
      <w:pPr>
        <w:pStyle w:val="ListBullet"/>
        <w:spacing w:after="40"/>
      </w:pPr>
      <w:r>
        <w:t>Clear language that the platform does not provide emergency response.</w:t>
      </w:r>
    </w:p>
    <w:p>
      <w:pPr>
        <w:pStyle w:val="ListBullet"/>
        <w:spacing w:after="40"/>
      </w:pPr>
      <w:r>
        <w:t>If a user expresses imminent self-harm intent, the product should prioritize crisis guidance and human/public services rather than a normal journaling flow.</w:t>
      </w:r>
    </w:p>
    <w:p>
      <w:pPr>
        <w:pStyle w:val="ListBullet"/>
        <w:spacing w:after="40"/>
      </w:pPr>
      <w:r>
        <w:t>Do not make an AI-generated risk score visible as a medical fact.</w:t>
      </w:r>
    </w:p>
    <w:p>
      <w:pPr>
        <w:pStyle w:val="ListBullet"/>
        <w:spacing w:after="40"/>
      </w:pPr>
      <w:r>
        <w:t>Professional dashboards should clearly show when information is incomplete or stale.</w:t>
      </w:r>
    </w:p>
    <w:p>
      <w:r>
        <w:br w:type="page"/>
      </w:r>
    </w:p>
    <w:p>
      <w:pPr>
        <w:pStyle w:val="Heading1"/>
      </w:pPr>
      <w:r>
        <w:t>10. Unique Selling Proposition (USP)</w:t>
      </w:r>
    </w:p>
    <w:tbl>
      <w:tblPr>
        <w:tblStyle w:val="TableGrid"/>
        <w:tblW w:type="auto" w:w="0"/>
        <w:tblLook w:firstColumn="1" w:firstRow="1" w:lastColumn="0" w:lastRow="0" w:noHBand="0" w:noVBand="1" w:val="04A0"/>
      </w:tblPr>
      <w:tblGrid>
        <w:gridCol w:w="10080"/>
      </w:tblGrid>
      <w:tr>
        <w:trPr>
          <w:tblHeader w:val="true"/>
        </w:trPr>
        <w:tc>
          <w:tcPr>
            <w:tcW w:type="dxa" w:w="10080"/>
            <w:shd w:fill="E8F5F3"/>
          </w:tcPr>
          <w:p>
            <w:r/>
            <w:r>
              <w:rPr>
                <w:b/>
                <w:color w:val="1B2C4F"/>
                <w:sz w:val="20"/>
              </w:rPr>
              <w:t>PRIMARY USP</w:t>
              <w:br/>
            </w:r>
            <w:r>
              <w:rPr>
                <w:color w:val="232323"/>
                <w:sz w:val="18"/>
              </w:rPr>
              <w:t>Between Sessions connects structured self-management with verified human care: the user can learn and track behavior independently, while a consented professional can review longitudinal patterns and guide escalation when software is not enough.</w:t>
            </w:r>
          </w:p>
        </w:tc>
      </w:tr>
    </w:tbl>
    <w:p/>
    <w:p>
      <w:pPr>
        <w:pStyle w:val="Heading2"/>
      </w:pPr>
      <w:r>
        <w:t>10.1 Why this is different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88"/>
            <w:vAlign w:val="center"/>
            <w:shd w:fill="304F73"/>
          </w:tcPr>
          <w:p>
            <w:pPr>
              <w:spacing w:after="0"/>
            </w:pPr>
            <w:r/>
            <w:r>
              <w:rPr>
                <w:rFonts w:ascii="Aptos" w:hAnsi="Aptos"/>
                <w:b/>
                <w:color w:val="FFFFFF"/>
                <w:sz w:val="16"/>
              </w:rPr>
              <w:t>Alternative</w:t>
            </w:r>
          </w:p>
        </w:tc>
        <w:tc>
          <w:tcPr>
            <w:tcW w:type="dxa" w:w="3312"/>
            <w:vAlign w:val="center"/>
            <w:shd w:fill="304F73"/>
          </w:tcPr>
          <w:p>
            <w:pPr>
              <w:spacing w:after="0"/>
            </w:pPr>
            <w:r/>
            <w:r>
              <w:rPr>
                <w:rFonts w:ascii="Aptos" w:hAnsi="Aptos"/>
                <w:b/>
                <w:color w:val="FFFFFF"/>
                <w:sz w:val="16"/>
              </w:rPr>
              <w:t>Strength</w:t>
            </w:r>
          </w:p>
        </w:tc>
        <w:tc>
          <w:tcPr>
            <w:tcW w:type="dxa" w:w="5112"/>
            <w:vAlign w:val="center"/>
            <w:shd w:fill="304F73"/>
          </w:tcPr>
          <w:p>
            <w:pPr>
              <w:spacing w:after="0"/>
            </w:pPr>
            <w:r/>
            <w:r>
              <w:rPr>
                <w:rFonts w:ascii="Aptos" w:hAnsi="Aptos"/>
                <w:b/>
                <w:color w:val="FFFFFF"/>
                <w:sz w:val="16"/>
              </w:rPr>
              <w:t>Gap Between Sessions addresses</w:t>
            </w:r>
          </w:p>
        </w:tc>
      </w:tr>
      <w:tr>
        <w:tc>
          <w:tcPr>
            <w:tcW w:type="dxa" w:w="2088"/>
            <w:vAlign w:val="center"/>
          </w:tcPr>
          <w:p>
            <w:pPr>
              <w:spacing w:after="0"/>
            </w:pPr>
            <w:r/>
            <w:r>
              <w:rPr>
                <w:rFonts w:ascii="Aptos" w:hAnsi="Aptos"/>
                <w:b w:val="0"/>
                <w:color w:val="232323"/>
                <w:sz w:val="16"/>
              </w:rPr>
              <w:t>Tele-MANAS / public helplines</w:t>
            </w:r>
          </w:p>
        </w:tc>
        <w:tc>
          <w:tcPr>
            <w:tcW w:type="dxa" w:w="3312"/>
            <w:vAlign w:val="center"/>
          </w:tcPr>
          <w:p>
            <w:pPr>
              <w:spacing w:after="0"/>
            </w:pPr>
            <w:r/>
            <w:r>
              <w:rPr>
                <w:rFonts w:ascii="Aptos" w:hAnsi="Aptos"/>
                <w:b w:val="0"/>
                <w:color w:val="232323"/>
                <w:sz w:val="16"/>
              </w:rPr>
              <w:t>Free, 24×7 counselling and referral network</w:t>
            </w:r>
          </w:p>
        </w:tc>
        <w:tc>
          <w:tcPr>
            <w:tcW w:type="dxa" w:w="5112"/>
            <w:vAlign w:val="center"/>
          </w:tcPr>
          <w:p>
            <w:pPr>
              <w:spacing w:after="0"/>
            </w:pPr>
            <w:r/>
            <w:r>
              <w:rPr>
                <w:rFonts w:ascii="Aptos" w:hAnsi="Aptos"/>
                <w:b w:val="0"/>
                <w:color w:val="232323"/>
                <w:sz w:val="16"/>
              </w:rPr>
              <w:t>Less focused on longitudinal OCD behavioral tracking and user-controlled between-session practice. [4][5]</w:t>
            </w:r>
          </w:p>
        </w:tc>
      </w:tr>
      <w:tr>
        <w:tc>
          <w:tcPr>
            <w:tcW w:type="dxa" w:w="2088"/>
            <w:vAlign w:val="center"/>
            <w:shd w:fill="F5F8FB"/>
          </w:tcPr>
          <w:p>
            <w:pPr>
              <w:spacing w:after="0"/>
            </w:pPr>
            <w:r/>
            <w:r>
              <w:rPr>
                <w:rFonts w:ascii="Aptos" w:hAnsi="Aptos"/>
                <w:b w:val="0"/>
                <w:color w:val="232323"/>
                <w:sz w:val="16"/>
              </w:rPr>
              <w:t>Generic wellness apps</w:t>
            </w:r>
          </w:p>
        </w:tc>
        <w:tc>
          <w:tcPr>
            <w:tcW w:type="dxa" w:w="3312"/>
            <w:vAlign w:val="center"/>
            <w:shd w:fill="F5F8FB"/>
          </w:tcPr>
          <w:p>
            <w:pPr>
              <w:spacing w:after="0"/>
            </w:pPr>
            <w:r/>
            <w:r>
              <w:rPr>
                <w:rFonts w:ascii="Aptos" w:hAnsi="Aptos"/>
                <w:b w:val="0"/>
                <w:color w:val="232323"/>
                <w:sz w:val="16"/>
              </w:rPr>
              <w:t>Habit/mood tracking and broad wellbeing</w:t>
            </w:r>
          </w:p>
        </w:tc>
        <w:tc>
          <w:tcPr>
            <w:tcW w:type="dxa" w:w="5112"/>
            <w:vAlign w:val="center"/>
            <w:shd w:fill="F5F8FB"/>
          </w:tcPr>
          <w:p>
            <w:pPr>
              <w:spacing w:after="0"/>
            </w:pPr>
            <w:r/>
            <w:r>
              <w:rPr>
                <w:rFonts w:ascii="Aptos" w:hAnsi="Aptos"/>
                <w:b w:val="0"/>
                <w:color w:val="232323"/>
                <w:sz w:val="16"/>
              </w:rPr>
              <w:t>Often not centered on OCD/ERP-specific continuity + verified professional escalation.</w:t>
            </w:r>
          </w:p>
        </w:tc>
      </w:tr>
      <w:tr>
        <w:tc>
          <w:tcPr>
            <w:tcW w:type="dxa" w:w="2088"/>
            <w:vAlign w:val="center"/>
          </w:tcPr>
          <w:p>
            <w:pPr>
              <w:spacing w:after="0"/>
            </w:pPr>
            <w:r/>
            <w:r>
              <w:rPr>
                <w:rFonts w:ascii="Aptos" w:hAnsi="Aptos"/>
                <w:b w:val="0"/>
                <w:color w:val="232323"/>
                <w:sz w:val="16"/>
              </w:rPr>
              <w:t>AI chatbots</w:t>
            </w:r>
          </w:p>
        </w:tc>
        <w:tc>
          <w:tcPr>
            <w:tcW w:type="dxa" w:w="3312"/>
            <w:vAlign w:val="center"/>
          </w:tcPr>
          <w:p>
            <w:pPr>
              <w:spacing w:after="0"/>
            </w:pPr>
            <w:r/>
            <w:r>
              <w:rPr>
                <w:rFonts w:ascii="Aptos" w:hAnsi="Aptos"/>
                <w:b w:val="0"/>
                <w:color w:val="232323"/>
                <w:sz w:val="16"/>
              </w:rPr>
              <w:t>Low-friction conversation</w:t>
            </w:r>
          </w:p>
        </w:tc>
        <w:tc>
          <w:tcPr>
            <w:tcW w:type="dxa" w:w="5112"/>
            <w:vAlign w:val="center"/>
          </w:tcPr>
          <w:p>
            <w:pPr>
              <w:spacing w:after="0"/>
            </w:pPr>
            <w:r/>
            <w:r>
              <w:rPr>
                <w:rFonts w:ascii="Aptos" w:hAnsi="Aptos"/>
                <w:b w:val="0"/>
                <w:color w:val="232323"/>
                <w:sz w:val="16"/>
              </w:rPr>
              <w:t>Risk of diagnosis/reassurance/over-reliance; Between Sessions keeps AI narrow and human escalation explicit.</w:t>
            </w:r>
          </w:p>
        </w:tc>
      </w:tr>
      <w:tr>
        <w:tc>
          <w:tcPr>
            <w:tcW w:type="dxa" w:w="2088"/>
            <w:vAlign w:val="center"/>
            <w:shd w:fill="F5F8FB"/>
          </w:tcPr>
          <w:p>
            <w:pPr>
              <w:spacing w:after="0"/>
            </w:pPr>
            <w:r/>
            <w:r>
              <w:rPr>
                <w:rFonts w:ascii="Aptos" w:hAnsi="Aptos"/>
                <w:b w:val="0"/>
                <w:color w:val="232323"/>
                <w:sz w:val="16"/>
              </w:rPr>
              <w:t>Doctor directories</w:t>
            </w:r>
          </w:p>
        </w:tc>
        <w:tc>
          <w:tcPr>
            <w:tcW w:type="dxa" w:w="3312"/>
            <w:vAlign w:val="center"/>
            <w:shd w:fill="F5F8FB"/>
          </w:tcPr>
          <w:p>
            <w:pPr>
              <w:spacing w:after="0"/>
            </w:pPr>
            <w:r/>
            <w:r>
              <w:rPr>
                <w:rFonts w:ascii="Aptos" w:hAnsi="Aptos"/>
                <w:b w:val="0"/>
                <w:color w:val="232323"/>
                <w:sz w:val="16"/>
              </w:rPr>
              <w:t>Find practitioners</w:t>
            </w:r>
          </w:p>
        </w:tc>
        <w:tc>
          <w:tcPr>
            <w:tcW w:type="dxa" w:w="5112"/>
            <w:vAlign w:val="center"/>
            <w:shd w:fill="F5F8FB"/>
          </w:tcPr>
          <w:p>
            <w:pPr>
              <w:spacing w:after="0"/>
            </w:pPr>
            <w:r/>
            <w:r>
              <w:rPr>
                <w:rFonts w:ascii="Aptos" w:hAnsi="Aptos"/>
                <w:b w:val="0"/>
                <w:color w:val="232323"/>
                <w:sz w:val="16"/>
              </w:rPr>
              <w:t>Do not necessarily create a longitudinal behavioral record or structured between-session workflow.</w:t>
            </w:r>
          </w:p>
        </w:tc>
      </w:tr>
      <w:tr>
        <w:tc>
          <w:tcPr>
            <w:tcW w:type="dxa" w:w="2088"/>
            <w:vAlign w:val="center"/>
          </w:tcPr>
          <w:p>
            <w:pPr>
              <w:spacing w:after="0"/>
            </w:pPr>
            <w:r/>
            <w:r>
              <w:rPr>
                <w:rFonts w:ascii="Aptos" w:hAnsi="Aptos"/>
                <w:b w:val="0"/>
                <w:color w:val="232323"/>
                <w:sz w:val="16"/>
              </w:rPr>
              <w:t>Standalone therapy</w:t>
            </w:r>
          </w:p>
        </w:tc>
        <w:tc>
          <w:tcPr>
            <w:tcW w:type="dxa" w:w="3312"/>
            <w:vAlign w:val="center"/>
          </w:tcPr>
          <w:p>
            <w:pPr>
              <w:spacing w:after="0"/>
            </w:pPr>
            <w:r/>
            <w:r>
              <w:rPr>
                <w:rFonts w:ascii="Aptos" w:hAnsi="Aptos"/>
                <w:b w:val="0"/>
                <w:color w:val="232323"/>
                <w:sz w:val="16"/>
              </w:rPr>
              <w:t>Deep human support</w:t>
            </w:r>
          </w:p>
        </w:tc>
        <w:tc>
          <w:tcPr>
            <w:tcW w:type="dxa" w:w="5112"/>
            <w:vAlign w:val="center"/>
          </w:tcPr>
          <w:p>
            <w:pPr>
              <w:spacing w:after="0"/>
            </w:pPr>
            <w:r/>
            <w:r>
              <w:rPr>
                <w:rFonts w:ascii="Aptos" w:hAnsi="Aptos"/>
                <w:b w:val="0"/>
                <w:color w:val="232323"/>
                <w:sz w:val="16"/>
              </w:rPr>
              <w:t>Can be constrained by cost, time, geography or appointment availability; platform is a continuity layer, not a replacement.</w:t>
            </w:r>
          </w:p>
        </w:tc>
      </w:tr>
    </w:tbl>
    <w:p/>
    <w:p>
      <w:pPr>
        <w:pStyle w:val="Heading2"/>
      </w:pPr>
      <w:r>
        <w:t>10.2 Competitive moat over time</w:t>
      </w:r>
    </w:p>
    <w:p>
      <w:pPr>
        <w:pStyle w:val="ListBullet"/>
        <w:spacing w:after="40"/>
      </w:pPr>
      <w:r>
        <w:t>Trust moat: rigorous practitioner verification and transparent credentials.</w:t>
      </w:r>
    </w:p>
    <w:p>
      <w:pPr>
        <w:pStyle w:val="ListBullet"/>
        <w:spacing w:after="40"/>
      </w:pPr>
      <w:r>
        <w:t>Continuity moat: longitudinal, consented behavioral history becomes useful across sessions.</w:t>
      </w:r>
    </w:p>
    <w:p>
      <w:pPr>
        <w:pStyle w:val="ListBullet"/>
        <w:spacing w:after="40"/>
      </w:pPr>
      <w:r>
        <w:t>Clinical-content moat: professionally reviewed OCD/ERP education and workflows.</w:t>
      </w:r>
    </w:p>
    <w:p>
      <w:pPr>
        <w:pStyle w:val="ListBullet"/>
        <w:spacing w:after="40"/>
      </w:pPr>
      <w:r>
        <w:t>Privacy moat: data minimization and consent architecture designed into the product from the start.</w:t>
      </w:r>
    </w:p>
    <w:p>
      <w:pPr>
        <w:pStyle w:val="ListBullet"/>
        <w:spacing w:after="40"/>
      </w:pPr>
      <w:r>
        <w:t>Institutional moat: aggregate, de-identified insights for colleges/organizations without exposing individuals.</w:t>
      </w:r>
    </w:p>
    <w:p>
      <w:pPr>
        <w:pStyle w:val="ListBullet"/>
        <w:spacing w:after="40"/>
      </w:pPr>
      <w:r>
        <w:t>Localization moat: Indian languages, regional practitioner discovery and integration with public resources.</w:t>
      </w:r>
    </w:p>
    <w:p>
      <w:pPr>
        <w:pStyle w:val="Heading1"/>
      </w:pPr>
      <w:r>
        <w:t>11. Business Model and Go-to-Market</w:t>
      </w:r>
    </w:p>
    <w:p>
      <w:pPr>
        <w:pStyle w:val="Heading2"/>
      </w:pPr>
      <w:r>
        <w:t>11.1 Business model principle</w:t>
      </w:r>
    </w:p>
    <w:p>
      <w:r>
        <w:t>The core self-management layer should remain free or extremely low-cost to preserve the access mission. Revenue, where appropriate, should come from services around professional care, institutions and premium infrastructure rather than from selling sensitive user data.</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vAlign w:val="center"/>
            <w:shd w:fill="304F73"/>
          </w:tcPr>
          <w:p>
            <w:pPr>
              <w:spacing w:after="0"/>
            </w:pPr>
            <w:r/>
            <w:r>
              <w:rPr>
                <w:rFonts w:ascii="Aptos" w:hAnsi="Aptos"/>
                <w:b/>
                <w:color w:val="FFFFFF"/>
                <w:sz w:val="16"/>
              </w:rPr>
              <w:t>Revenue stream</w:t>
            </w:r>
          </w:p>
        </w:tc>
        <w:tc>
          <w:tcPr>
            <w:tcW w:type="dxa" w:w="5976"/>
            <w:vAlign w:val="center"/>
            <w:shd w:fill="304F73"/>
          </w:tcPr>
          <w:p>
            <w:pPr>
              <w:spacing w:after="0"/>
            </w:pPr>
            <w:r/>
            <w:r>
              <w:rPr>
                <w:rFonts w:ascii="Aptos" w:hAnsi="Aptos"/>
                <w:b/>
                <w:color w:val="FFFFFF"/>
                <w:sz w:val="16"/>
              </w:rPr>
              <w:t>How it could work</w:t>
            </w:r>
          </w:p>
        </w:tc>
        <w:tc>
          <w:tcPr>
            <w:tcW w:type="dxa" w:w="2304"/>
            <w:vAlign w:val="center"/>
            <w:shd w:fill="304F73"/>
          </w:tcPr>
          <w:p>
            <w:pPr>
              <w:spacing w:after="0"/>
            </w:pPr>
            <w:r/>
            <w:r>
              <w:rPr>
                <w:rFonts w:ascii="Aptos" w:hAnsi="Aptos"/>
                <w:b/>
                <w:color w:val="FFFFFF"/>
                <w:sz w:val="16"/>
              </w:rPr>
              <w:t>When</w:t>
            </w:r>
          </w:p>
        </w:tc>
      </w:tr>
      <w:tr>
        <w:tc>
          <w:tcPr>
            <w:tcW w:type="dxa" w:w="2232"/>
            <w:vAlign w:val="center"/>
          </w:tcPr>
          <w:p>
            <w:pPr>
              <w:spacing w:after="0"/>
            </w:pPr>
            <w:r/>
            <w:r>
              <w:rPr>
                <w:rFonts w:ascii="Aptos" w:hAnsi="Aptos"/>
                <w:b w:val="0"/>
                <w:color w:val="232323"/>
                <w:sz w:val="16"/>
              </w:rPr>
              <w:t>Practitioner subscription</w:t>
            </w:r>
          </w:p>
        </w:tc>
        <w:tc>
          <w:tcPr>
            <w:tcW w:type="dxa" w:w="5976"/>
            <w:vAlign w:val="center"/>
          </w:tcPr>
          <w:p>
            <w:pPr>
              <w:spacing w:after="0"/>
            </w:pPr>
            <w:r/>
            <w:r>
              <w:rPr>
                <w:rFonts w:ascii="Aptos" w:hAnsi="Aptos"/>
                <w:b w:val="0"/>
                <w:color w:val="232323"/>
                <w:sz w:val="16"/>
              </w:rPr>
              <w:t>Verified professionals pay for advanced dashboard, structured reports, scheduling and secure workflows.</w:t>
            </w:r>
          </w:p>
        </w:tc>
        <w:tc>
          <w:tcPr>
            <w:tcW w:type="dxa" w:w="2304"/>
            <w:vAlign w:val="center"/>
          </w:tcPr>
          <w:p>
            <w:pPr>
              <w:spacing w:after="0"/>
            </w:pPr>
            <w:r/>
            <w:r>
              <w:rPr>
                <w:rFonts w:ascii="Aptos" w:hAnsi="Aptos"/>
                <w:b w:val="0"/>
                <w:color w:val="232323"/>
                <w:sz w:val="16"/>
              </w:rPr>
              <w:t>Phase 2+</w:t>
            </w:r>
          </w:p>
        </w:tc>
      </w:tr>
      <w:tr>
        <w:tc>
          <w:tcPr>
            <w:tcW w:type="dxa" w:w="2232"/>
            <w:vAlign w:val="center"/>
            <w:shd w:fill="F5F8FB"/>
          </w:tcPr>
          <w:p>
            <w:pPr>
              <w:spacing w:after="0"/>
            </w:pPr>
            <w:r/>
            <w:r>
              <w:rPr>
                <w:rFonts w:ascii="Aptos" w:hAnsi="Aptos"/>
                <w:b w:val="0"/>
                <w:color w:val="232323"/>
                <w:sz w:val="16"/>
              </w:rPr>
              <w:t>Professional marketplace fee</w:t>
            </w:r>
          </w:p>
        </w:tc>
        <w:tc>
          <w:tcPr>
            <w:tcW w:type="dxa" w:w="5976"/>
            <w:vAlign w:val="center"/>
            <w:shd w:fill="F5F8FB"/>
          </w:tcPr>
          <w:p>
            <w:pPr>
              <w:spacing w:after="0"/>
            </w:pPr>
            <w:r/>
            <w:r>
              <w:rPr>
                <w:rFonts w:ascii="Aptos" w:hAnsi="Aptos"/>
                <w:b w:val="0"/>
                <w:color w:val="232323"/>
                <w:sz w:val="16"/>
              </w:rPr>
              <w:t>Optional transaction fee for paid sessions booked through the platform, subject to applicable rules and agreements.</w:t>
            </w:r>
          </w:p>
        </w:tc>
        <w:tc>
          <w:tcPr>
            <w:tcW w:type="dxa" w:w="2304"/>
            <w:vAlign w:val="center"/>
            <w:shd w:fill="F5F8FB"/>
          </w:tcPr>
          <w:p>
            <w:pPr>
              <w:spacing w:after="0"/>
            </w:pPr>
            <w:r/>
            <w:r>
              <w:rPr>
                <w:rFonts w:ascii="Aptos" w:hAnsi="Aptos"/>
                <w:b w:val="0"/>
                <w:color w:val="232323"/>
                <w:sz w:val="16"/>
              </w:rPr>
              <w:t>Phase 2+</w:t>
            </w:r>
          </w:p>
        </w:tc>
      </w:tr>
      <w:tr>
        <w:tc>
          <w:tcPr>
            <w:tcW w:type="dxa" w:w="2232"/>
            <w:vAlign w:val="center"/>
          </w:tcPr>
          <w:p>
            <w:pPr>
              <w:spacing w:after="0"/>
            </w:pPr>
            <w:r/>
            <w:r>
              <w:rPr>
                <w:rFonts w:ascii="Aptos" w:hAnsi="Aptos"/>
                <w:b w:val="0"/>
                <w:color w:val="232323"/>
                <w:sz w:val="16"/>
              </w:rPr>
              <w:t>Institutional licensing</w:t>
            </w:r>
          </w:p>
        </w:tc>
        <w:tc>
          <w:tcPr>
            <w:tcW w:type="dxa" w:w="5976"/>
            <w:vAlign w:val="center"/>
          </w:tcPr>
          <w:p>
            <w:pPr>
              <w:spacing w:after="0"/>
            </w:pPr>
            <w:r/>
            <w:r>
              <w:rPr>
                <w:rFonts w:ascii="Aptos" w:hAnsi="Aptos"/>
                <w:b w:val="0"/>
                <w:color w:val="232323"/>
                <w:sz w:val="16"/>
              </w:rPr>
              <w:t>Colleges/employers sponsor access and receive only aggregated program-level dashboards.</w:t>
            </w:r>
          </w:p>
        </w:tc>
        <w:tc>
          <w:tcPr>
            <w:tcW w:type="dxa" w:w="2304"/>
            <w:vAlign w:val="center"/>
          </w:tcPr>
          <w:p>
            <w:pPr>
              <w:spacing w:after="0"/>
            </w:pPr>
            <w:r/>
            <w:r>
              <w:rPr>
                <w:rFonts w:ascii="Aptos" w:hAnsi="Aptos"/>
                <w:b w:val="0"/>
                <w:color w:val="232323"/>
                <w:sz w:val="16"/>
              </w:rPr>
              <w:t>Phase 2+</w:t>
            </w:r>
          </w:p>
        </w:tc>
      </w:tr>
      <w:tr>
        <w:tc>
          <w:tcPr>
            <w:tcW w:type="dxa" w:w="2232"/>
            <w:vAlign w:val="center"/>
            <w:shd w:fill="F5F8FB"/>
          </w:tcPr>
          <w:p>
            <w:pPr>
              <w:spacing w:after="0"/>
            </w:pPr>
            <w:r/>
            <w:r>
              <w:rPr>
                <w:rFonts w:ascii="Aptos" w:hAnsi="Aptos"/>
                <w:b w:val="0"/>
                <w:color w:val="232323"/>
                <w:sz w:val="16"/>
              </w:rPr>
              <w:t>Clinical workflow tools</w:t>
            </w:r>
          </w:p>
        </w:tc>
        <w:tc>
          <w:tcPr>
            <w:tcW w:type="dxa" w:w="5976"/>
            <w:vAlign w:val="center"/>
            <w:shd w:fill="F5F8FB"/>
          </w:tcPr>
          <w:p>
            <w:pPr>
              <w:spacing w:after="0"/>
            </w:pPr>
            <w:r/>
            <w:r>
              <w:rPr>
                <w:rFonts w:ascii="Aptos" w:hAnsi="Aptos"/>
                <w:b w:val="0"/>
                <w:color w:val="232323"/>
                <w:sz w:val="16"/>
              </w:rPr>
              <w:t>B2B tools for structured follow-up, consent and reporting.</w:t>
            </w:r>
          </w:p>
        </w:tc>
        <w:tc>
          <w:tcPr>
            <w:tcW w:type="dxa" w:w="2304"/>
            <w:vAlign w:val="center"/>
            <w:shd w:fill="F5F8FB"/>
          </w:tcPr>
          <w:p>
            <w:pPr>
              <w:spacing w:after="0"/>
            </w:pPr>
            <w:r/>
            <w:r>
              <w:rPr>
                <w:rFonts w:ascii="Aptos" w:hAnsi="Aptos"/>
                <w:b w:val="0"/>
                <w:color w:val="232323"/>
                <w:sz w:val="16"/>
              </w:rPr>
              <w:t>Phase 3</w:t>
            </w:r>
          </w:p>
        </w:tc>
      </w:tr>
      <w:tr>
        <w:tc>
          <w:tcPr>
            <w:tcW w:type="dxa" w:w="2232"/>
            <w:vAlign w:val="center"/>
          </w:tcPr>
          <w:p>
            <w:pPr>
              <w:spacing w:after="0"/>
            </w:pPr>
            <w:r/>
            <w:r>
              <w:rPr>
                <w:rFonts w:ascii="Aptos" w:hAnsi="Aptos"/>
                <w:b w:val="0"/>
                <w:color w:val="232323"/>
                <w:sz w:val="16"/>
              </w:rPr>
              <w:t>Grants / CSR</w:t>
            </w:r>
          </w:p>
        </w:tc>
        <w:tc>
          <w:tcPr>
            <w:tcW w:type="dxa" w:w="5976"/>
            <w:vAlign w:val="center"/>
          </w:tcPr>
          <w:p>
            <w:pPr>
              <w:spacing w:after="0"/>
            </w:pPr>
            <w:r/>
            <w:r>
              <w:rPr>
                <w:rFonts w:ascii="Aptos" w:hAnsi="Aptos"/>
                <w:b w:val="0"/>
                <w:color w:val="232323"/>
                <w:sz w:val="16"/>
              </w:rPr>
              <w:t>Sponsored access for underserved groups without turning the user experience into advertising.</w:t>
            </w:r>
          </w:p>
        </w:tc>
        <w:tc>
          <w:tcPr>
            <w:tcW w:type="dxa" w:w="2304"/>
            <w:vAlign w:val="center"/>
          </w:tcPr>
          <w:p>
            <w:pPr>
              <w:spacing w:after="0"/>
            </w:pPr>
            <w:r/>
            <w:r>
              <w:rPr>
                <w:rFonts w:ascii="Aptos" w:hAnsi="Aptos"/>
                <w:b w:val="0"/>
                <w:color w:val="232323"/>
                <w:sz w:val="16"/>
              </w:rPr>
              <w:t>Early growth</w:t>
            </w:r>
          </w:p>
        </w:tc>
      </w:tr>
      <w:tr>
        <w:tc>
          <w:tcPr>
            <w:tcW w:type="dxa" w:w="2232"/>
            <w:vAlign w:val="center"/>
            <w:shd w:fill="F5F8FB"/>
          </w:tcPr>
          <w:p>
            <w:pPr>
              <w:spacing w:after="0"/>
            </w:pPr>
            <w:r/>
            <w:r>
              <w:rPr>
                <w:rFonts w:ascii="Aptos" w:hAnsi="Aptos"/>
                <w:b w:val="0"/>
                <w:color w:val="232323"/>
                <w:sz w:val="16"/>
              </w:rPr>
              <w:t>Research partnerships</w:t>
            </w:r>
          </w:p>
        </w:tc>
        <w:tc>
          <w:tcPr>
            <w:tcW w:type="dxa" w:w="5976"/>
            <w:vAlign w:val="center"/>
            <w:shd w:fill="F5F8FB"/>
          </w:tcPr>
          <w:p>
            <w:pPr>
              <w:spacing w:after="0"/>
            </w:pPr>
            <w:r/>
            <w:r>
              <w:rPr>
                <w:rFonts w:ascii="Aptos" w:hAnsi="Aptos"/>
                <w:b w:val="0"/>
                <w:color w:val="232323"/>
                <w:sz w:val="16"/>
              </w:rPr>
              <w:t>Only under explicit governance, consent where required, de-identification and ethics review.</w:t>
            </w:r>
          </w:p>
        </w:tc>
        <w:tc>
          <w:tcPr>
            <w:tcW w:type="dxa" w:w="2304"/>
            <w:vAlign w:val="center"/>
            <w:shd w:fill="F5F8FB"/>
          </w:tcPr>
          <w:p>
            <w:pPr>
              <w:spacing w:after="0"/>
            </w:pPr>
            <w:r/>
            <w:r>
              <w:rPr>
                <w:rFonts w:ascii="Aptos" w:hAnsi="Aptos"/>
                <w:b w:val="0"/>
                <w:color w:val="232323"/>
                <w:sz w:val="16"/>
              </w:rPr>
              <w:t>Phase 3+</w:t>
            </w:r>
          </w:p>
        </w:tc>
      </w:tr>
    </w:tbl>
    <w:p/>
    <w:p>
      <w:pPr>
        <w:pStyle w:val="Heading2"/>
      </w:pPr>
      <w:r>
        <w:t>11.2 Business model constraints</w:t>
      </w:r>
    </w:p>
    <w:p>
      <w:pPr>
        <w:pStyle w:val="ListBullet"/>
        <w:spacing w:after="40"/>
      </w:pPr>
      <w:r>
        <w:t>Do not sell or broker individual mental-health profiles.</w:t>
      </w:r>
    </w:p>
    <w:p>
      <w:pPr>
        <w:pStyle w:val="ListBullet"/>
        <w:spacing w:after="40"/>
      </w:pPr>
      <w:r>
        <w:t>Do not create engagement loops that intentionally keep distressed users inside the app.</w:t>
      </w:r>
    </w:p>
    <w:p>
      <w:pPr>
        <w:pStyle w:val="ListBullet"/>
        <w:spacing w:after="40"/>
      </w:pPr>
      <w:r>
        <w:t>Do not monetize crisis moments.</w:t>
      </w:r>
    </w:p>
    <w:p>
      <w:pPr>
        <w:pStyle w:val="ListBullet"/>
        <w:spacing w:after="40"/>
      </w:pPr>
      <w:r>
        <w:t>Do not allow unverified practitioners to present themselves as verified.</w:t>
      </w:r>
    </w:p>
    <w:p>
      <w:pPr>
        <w:pStyle w:val="ListBullet"/>
        <w:spacing w:after="40"/>
      </w:pPr>
      <w:r>
        <w:t>Avoid incentives that could create unnecessary referrals or appointments.</w:t>
      </w:r>
    </w:p>
    <w:p>
      <w:pPr>
        <w:pStyle w:val="Heading2"/>
      </w:pPr>
      <w:r>
        <w:t>11.3 Go-to-market</w:t>
      </w:r>
    </w:p>
    <w:p>
      <w:pPr>
        <w:pStyle w:val="ListNumber"/>
        <w:spacing w:after="40"/>
      </w:pPr>
      <w:r>
        <w:t>Start with a focused OCD/ERP community through colleges, mental-health clubs and therapist partners.</w:t>
      </w:r>
    </w:p>
    <w:p>
      <w:pPr>
        <w:pStyle w:val="ListNumber"/>
        <w:spacing w:after="40"/>
      </w:pPr>
      <w:r>
        <w:t>Recruit a small panel of qualified practitioners to review educational content and the practitioner workflow.</w:t>
      </w:r>
    </w:p>
    <w:p>
      <w:pPr>
        <w:pStyle w:val="ListNumber"/>
        <w:spacing w:after="40"/>
      </w:pPr>
      <w:r>
        <w:t>Run a closed beta with consented users and measure whether the workflow is understandable and actually used.</w:t>
      </w:r>
    </w:p>
    <w:p>
      <w:pPr>
        <w:pStyle w:val="ListNumber"/>
        <w:spacing w:after="40"/>
      </w:pPr>
      <w:r>
        <w:t>Expand to other concerns only after the OCD workflow is stable and clinically reviewed.</w:t>
      </w:r>
    </w:p>
    <w:p>
      <w:pPr>
        <w:pStyle w:val="ListNumber"/>
        <w:spacing w:after="40"/>
      </w:pPr>
      <w:r>
        <w:t>Pursue institution partnerships for campus wellbeing only after privacy and governance are mature.</w:t>
      </w:r>
    </w:p>
    <w:p>
      <w:pPr>
        <w:pStyle w:val="Heading1"/>
      </w:pPr>
      <w:r>
        <w:t>12. Social Impact and Public-Health Vision</w:t>
      </w:r>
    </w:p>
    <w:p>
      <w:pPr>
        <w:pStyle w:val="Heading2"/>
      </w:pPr>
      <w:r>
        <w:t>12.1 Individual-level impact</w:t>
      </w:r>
    </w:p>
    <w:p>
      <w:pPr>
        <w:pStyle w:val="ListBullet"/>
        <w:spacing w:after="40"/>
      </w:pPr>
      <w:r>
        <w:t>Lower the friction to first useful information.</w:t>
      </w:r>
    </w:p>
    <w:p>
      <w:pPr>
        <w:pStyle w:val="ListBullet"/>
        <w:spacing w:after="40"/>
      </w:pPr>
      <w:r>
        <w:t>Improve continuity between professional interactions.</w:t>
      </w:r>
    </w:p>
    <w:p>
      <w:pPr>
        <w:pStyle w:val="ListBullet"/>
        <w:spacing w:after="40"/>
      </w:pPr>
      <w:r>
        <w:t>Help users notice behavioral patterns without turning those patterns into diagnoses.</w:t>
      </w:r>
    </w:p>
    <w:p>
      <w:pPr>
        <w:pStyle w:val="ListBullet"/>
        <w:spacing w:after="40"/>
      </w:pPr>
      <w:r>
        <w:t>Make it easier to communicate useful longitudinal information to a professional.</w:t>
      </w:r>
    </w:p>
    <w:p>
      <w:pPr>
        <w:pStyle w:val="ListBullet"/>
        <w:spacing w:after="40"/>
      </w:pPr>
      <w:r>
        <w:t>Provide clearer escalation routes when self-guided support is not enough.</w:t>
      </w:r>
    </w:p>
    <w:p>
      <w:pPr>
        <w:pStyle w:val="Heading2"/>
      </w:pPr>
      <w:r>
        <w:t>12.2 Population-level vision</w:t>
      </w:r>
    </w:p>
    <w:p>
      <w:r>
        <w:t>A future public-health layer could aggregate opt-in, de-identified indicators such as support demand, broad concern categories, wait/availability signals and geographic service gaps. This should be treated as a service-planning signal, not a clinical prevalence estimate. India's DMHP explicitly includes monitoring and community-level data/experience for planning and service improvement, making this direction consistent with the broader public-health logic of the national programme. [4][13]</w:t>
      </w:r>
    </w:p>
    <w:tbl>
      <w:tblPr>
        <w:tblStyle w:val="TableGrid"/>
        <w:tblW w:type="auto" w:w="0"/>
        <w:tblLook w:firstColumn="1" w:firstRow="1" w:lastColumn="0" w:lastRow="0" w:noHBand="0" w:noVBand="1" w:val="04A0"/>
      </w:tblPr>
      <w:tblGrid>
        <w:gridCol w:w="10080"/>
      </w:tblGrid>
      <w:tr>
        <w:trPr>
          <w:tblHeader w:val="true"/>
        </w:trPr>
        <w:tc>
          <w:tcPr>
            <w:tcW w:type="dxa" w:w="10080"/>
            <w:shd w:fill="FFF3E8"/>
          </w:tcPr>
          <w:p>
            <w:r/>
            <w:r>
              <w:rPr>
                <w:b/>
                <w:color w:val="1B2C4F"/>
                <w:sz w:val="20"/>
              </w:rPr>
              <w:t>KEY GOVERNANCE RULE</w:t>
              <w:br/>
            </w:r>
            <w:r>
              <w:rPr>
                <w:color w:val="232323"/>
                <w:sz w:val="18"/>
              </w:rPr>
              <w:t>Never publish a heat map that labels a district as 'mentally unhealthy' from app users alone. Report demand or service-gap indicators with sampling limitations and minimum-count thresholds instead.</w:t>
            </w:r>
          </w:p>
        </w:tc>
      </w:tr>
    </w:tbl>
    <w:p/>
    <w:p>
      <w:pPr>
        <w:pStyle w:val="Heading2"/>
      </w:pPr>
      <w:r>
        <w:t>12.3 Example future dashboard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vAlign w:val="center"/>
            <w:shd w:fill="304F73"/>
          </w:tcPr>
          <w:p>
            <w:pPr>
              <w:spacing w:after="0"/>
            </w:pPr>
            <w:r/>
            <w:r>
              <w:rPr>
                <w:rFonts w:ascii="Aptos" w:hAnsi="Aptos"/>
                <w:b/>
                <w:color w:val="FFFFFF"/>
                <w:sz w:val="16"/>
              </w:rPr>
              <w:t>Indicator</w:t>
            </w:r>
          </w:p>
        </w:tc>
        <w:tc>
          <w:tcPr>
            <w:tcW w:type="dxa" w:w="3816"/>
            <w:vAlign w:val="center"/>
            <w:shd w:fill="304F73"/>
          </w:tcPr>
          <w:p>
            <w:pPr>
              <w:spacing w:after="0"/>
            </w:pPr>
            <w:r/>
            <w:r>
              <w:rPr>
                <w:rFonts w:ascii="Aptos" w:hAnsi="Aptos"/>
                <w:b/>
                <w:color w:val="FFFFFF"/>
                <w:sz w:val="16"/>
              </w:rPr>
              <w:t>Example output</w:t>
            </w:r>
          </w:p>
        </w:tc>
        <w:tc>
          <w:tcPr>
            <w:tcW w:type="dxa" w:w="4608"/>
            <w:vAlign w:val="center"/>
            <w:shd w:fill="304F73"/>
          </w:tcPr>
          <w:p>
            <w:pPr>
              <w:spacing w:after="0"/>
            </w:pPr>
            <w:r/>
            <w:r>
              <w:rPr>
                <w:rFonts w:ascii="Aptos" w:hAnsi="Aptos"/>
                <w:b/>
                <w:color w:val="FFFFFF"/>
                <w:sz w:val="16"/>
              </w:rPr>
              <w:t>Responsible interpretation</w:t>
            </w:r>
          </w:p>
        </w:tc>
      </w:tr>
      <w:tr>
        <w:tc>
          <w:tcPr>
            <w:tcW w:type="dxa" w:w="2160"/>
            <w:vAlign w:val="center"/>
          </w:tcPr>
          <w:p>
            <w:pPr>
              <w:spacing w:after="0"/>
            </w:pPr>
            <w:r/>
            <w:r>
              <w:rPr>
                <w:rFonts w:ascii="Aptos" w:hAnsi="Aptos"/>
                <w:b w:val="0"/>
                <w:color w:val="232323"/>
                <w:sz w:val="16"/>
              </w:rPr>
              <w:t>Support demand</w:t>
            </w:r>
          </w:p>
        </w:tc>
        <w:tc>
          <w:tcPr>
            <w:tcW w:type="dxa" w:w="3816"/>
            <w:vAlign w:val="center"/>
          </w:tcPr>
          <w:p>
            <w:pPr>
              <w:spacing w:after="0"/>
            </w:pPr>
            <w:r/>
            <w:r>
              <w:rPr>
                <w:rFonts w:ascii="Aptos" w:hAnsi="Aptos"/>
                <w:b w:val="0"/>
                <w:color w:val="232323"/>
                <w:sz w:val="16"/>
              </w:rPr>
              <w:t>1,240 support-seeking sessions in a month</w:t>
            </w:r>
          </w:p>
        </w:tc>
        <w:tc>
          <w:tcPr>
            <w:tcW w:type="dxa" w:w="4608"/>
            <w:vAlign w:val="center"/>
          </w:tcPr>
          <w:p>
            <w:pPr>
              <w:spacing w:after="0"/>
            </w:pPr>
            <w:r/>
            <w:r>
              <w:rPr>
                <w:rFonts w:ascii="Aptos" w:hAnsi="Aptos"/>
                <w:b w:val="0"/>
                <w:color w:val="232323"/>
                <w:sz w:val="16"/>
              </w:rPr>
              <w:t>Platform usage, not population prevalence</w:t>
            </w:r>
          </w:p>
        </w:tc>
      </w:tr>
      <w:tr>
        <w:tc>
          <w:tcPr>
            <w:tcW w:type="dxa" w:w="2160"/>
            <w:vAlign w:val="center"/>
            <w:shd w:fill="F5F8FB"/>
          </w:tcPr>
          <w:p>
            <w:pPr>
              <w:spacing w:after="0"/>
            </w:pPr>
            <w:r/>
            <w:r>
              <w:rPr>
                <w:rFonts w:ascii="Aptos" w:hAnsi="Aptos"/>
                <w:b w:val="0"/>
                <w:color w:val="232323"/>
                <w:sz w:val="16"/>
              </w:rPr>
              <w:t>Referral requests</w:t>
            </w:r>
          </w:p>
        </w:tc>
        <w:tc>
          <w:tcPr>
            <w:tcW w:type="dxa" w:w="3816"/>
            <w:vAlign w:val="center"/>
            <w:shd w:fill="F5F8FB"/>
          </w:tcPr>
          <w:p>
            <w:pPr>
              <w:spacing w:after="0"/>
            </w:pPr>
            <w:r/>
            <w:r>
              <w:rPr>
                <w:rFonts w:ascii="Aptos" w:hAnsi="Aptos"/>
                <w:b w:val="0"/>
                <w:color w:val="232323"/>
                <w:sz w:val="16"/>
              </w:rPr>
              <w:t>18% requested professional connection</w:t>
            </w:r>
          </w:p>
        </w:tc>
        <w:tc>
          <w:tcPr>
            <w:tcW w:type="dxa" w:w="4608"/>
            <w:vAlign w:val="center"/>
            <w:shd w:fill="F5F8FB"/>
          </w:tcPr>
          <w:p>
            <w:pPr>
              <w:spacing w:after="0"/>
            </w:pPr>
            <w:r/>
            <w:r>
              <w:rPr>
                <w:rFonts w:ascii="Aptos" w:hAnsi="Aptos"/>
                <w:b w:val="0"/>
                <w:color w:val="232323"/>
                <w:sz w:val="16"/>
              </w:rPr>
              <w:t>Demand signal</w:t>
            </w:r>
          </w:p>
        </w:tc>
      </w:tr>
      <w:tr>
        <w:tc>
          <w:tcPr>
            <w:tcW w:type="dxa" w:w="2160"/>
            <w:vAlign w:val="center"/>
          </w:tcPr>
          <w:p>
            <w:pPr>
              <w:spacing w:after="0"/>
            </w:pPr>
            <w:r/>
            <w:r>
              <w:rPr>
                <w:rFonts w:ascii="Aptos" w:hAnsi="Aptos"/>
                <w:b w:val="0"/>
                <w:color w:val="232323"/>
                <w:sz w:val="16"/>
              </w:rPr>
              <w:t>Access gap</w:t>
            </w:r>
          </w:p>
        </w:tc>
        <w:tc>
          <w:tcPr>
            <w:tcW w:type="dxa" w:w="3816"/>
            <w:vAlign w:val="center"/>
          </w:tcPr>
          <w:p>
            <w:pPr>
              <w:spacing w:after="0"/>
            </w:pPr>
            <w:r/>
            <w:r>
              <w:rPr>
                <w:rFonts w:ascii="Aptos" w:hAnsi="Aptos"/>
                <w:b w:val="0"/>
                <w:color w:val="232323"/>
                <w:sz w:val="16"/>
              </w:rPr>
              <w:t>Median listed wait time by district</w:t>
            </w:r>
          </w:p>
        </w:tc>
        <w:tc>
          <w:tcPr>
            <w:tcW w:type="dxa" w:w="4608"/>
            <w:vAlign w:val="center"/>
          </w:tcPr>
          <w:p>
            <w:pPr>
              <w:spacing w:after="0"/>
            </w:pPr>
            <w:r/>
            <w:r>
              <w:rPr>
                <w:rFonts w:ascii="Aptos" w:hAnsi="Aptos"/>
                <w:b w:val="0"/>
                <w:color w:val="232323"/>
                <w:sz w:val="16"/>
              </w:rPr>
              <w:t>Service availability indicator</w:t>
            </w:r>
          </w:p>
        </w:tc>
      </w:tr>
      <w:tr>
        <w:tc>
          <w:tcPr>
            <w:tcW w:type="dxa" w:w="2160"/>
            <w:vAlign w:val="center"/>
            <w:shd w:fill="F5F8FB"/>
          </w:tcPr>
          <w:p>
            <w:pPr>
              <w:spacing w:after="0"/>
            </w:pPr>
            <w:r/>
            <w:r>
              <w:rPr>
                <w:rFonts w:ascii="Aptos" w:hAnsi="Aptos"/>
                <w:b w:val="0"/>
                <w:color w:val="232323"/>
                <w:sz w:val="16"/>
              </w:rPr>
              <w:t>Concern mix</w:t>
            </w:r>
          </w:p>
        </w:tc>
        <w:tc>
          <w:tcPr>
            <w:tcW w:type="dxa" w:w="3816"/>
            <w:vAlign w:val="center"/>
            <w:shd w:fill="F5F8FB"/>
          </w:tcPr>
          <w:p>
            <w:pPr>
              <w:spacing w:after="0"/>
            </w:pPr>
            <w:r/>
            <w:r>
              <w:rPr>
                <w:rFonts w:ascii="Aptos" w:hAnsi="Aptos"/>
                <w:b w:val="0"/>
                <w:color w:val="232323"/>
                <w:sz w:val="16"/>
              </w:rPr>
              <w:t>OCD / anxiety / stress categories</w:t>
            </w:r>
          </w:p>
        </w:tc>
        <w:tc>
          <w:tcPr>
            <w:tcW w:type="dxa" w:w="4608"/>
            <w:vAlign w:val="center"/>
            <w:shd w:fill="F5F8FB"/>
          </w:tcPr>
          <w:p>
            <w:pPr>
              <w:spacing w:after="0"/>
            </w:pPr>
            <w:r/>
            <w:r>
              <w:rPr>
                <w:rFonts w:ascii="Aptos" w:hAnsi="Aptos"/>
                <w:b w:val="0"/>
                <w:color w:val="232323"/>
                <w:sz w:val="16"/>
              </w:rPr>
              <w:t>Self-selected concern categories, not diagnosis</w:t>
            </w:r>
          </w:p>
        </w:tc>
      </w:tr>
      <w:tr>
        <w:tc>
          <w:tcPr>
            <w:tcW w:type="dxa" w:w="2160"/>
            <w:vAlign w:val="center"/>
          </w:tcPr>
          <w:p>
            <w:pPr>
              <w:spacing w:after="0"/>
            </w:pPr>
            <w:r/>
            <w:r>
              <w:rPr>
                <w:rFonts w:ascii="Aptos" w:hAnsi="Aptos"/>
                <w:b w:val="0"/>
                <w:color w:val="232323"/>
                <w:sz w:val="16"/>
              </w:rPr>
              <w:t>Engagement</w:t>
            </w:r>
          </w:p>
        </w:tc>
        <w:tc>
          <w:tcPr>
            <w:tcW w:type="dxa" w:w="3816"/>
            <w:vAlign w:val="center"/>
          </w:tcPr>
          <w:p>
            <w:pPr>
              <w:spacing w:after="0"/>
            </w:pPr>
            <w:r/>
            <w:r>
              <w:rPr>
                <w:rFonts w:ascii="Aptos" w:hAnsi="Aptos"/>
                <w:b w:val="0"/>
                <w:color w:val="232323"/>
                <w:sz w:val="16"/>
              </w:rPr>
              <w:t>Practice completion rate</w:t>
            </w:r>
          </w:p>
        </w:tc>
        <w:tc>
          <w:tcPr>
            <w:tcW w:type="dxa" w:w="4608"/>
            <w:vAlign w:val="center"/>
          </w:tcPr>
          <w:p>
            <w:pPr>
              <w:spacing w:after="0"/>
            </w:pPr>
            <w:r/>
            <w:r>
              <w:rPr>
                <w:rFonts w:ascii="Aptos" w:hAnsi="Aptos"/>
                <w:b w:val="0"/>
                <w:color w:val="232323"/>
                <w:sz w:val="16"/>
              </w:rPr>
              <w:t>Product metric, not clinical outcome</w:t>
            </w:r>
          </w:p>
        </w:tc>
      </w:tr>
    </w:tbl>
    <w:p/>
    <w:p>
      <w:pPr>
        <w:pStyle w:val="Heading1"/>
      </w:pPr>
      <w:r>
        <w:t>13. Hackathon MVP: What Should Actually Be Built</w:t>
      </w:r>
    </w:p>
    <w:tbl>
      <w:tblPr>
        <w:tblStyle w:val="TableGrid"/>
        <w:tblW w:type="auto" w:w="0"/>
        <w:tblLook w:firstColumn="1" w:firstRow="1" w:lastColumn="0" w:lastRow="0" w:noHBand="0" w:noVBand="1" w:val="04A0"/>
      </w:tblPr>
      <w:tblGrid>
        <w:gridCol w:w="10080"/>
      </w:tblGrid>
      <w:tr>
        <w:trPr>
          <w:tblHeader w:val="true"/>
        </w:trPr>
        <w:tc>
          <w:tcPr>
            <w:tcW w:type="dxa" w:w="10080"/>
            <w:shd w:fill="E8F5F3"/>
          </w:tcPr>
          <w:p>
            <w:r/>
            <w:r>
              <w:rPr>
                <w:b/>
                <w:color w:val="1B2C4F"/>
                <w:sz w:val="20"/>
              </w:rPr>
              <w:t>THE MVP SHOULD TELL ONE COMPLETE STORY</w:t>
              <w:br/>
            </w:r>
            <w:r>
              <w:rPr>
                <w:color w:val="232323"/>
                <w:sz w:val="18"/>
              </w:rPr>
              <w:t>A user joins → learns what OCD/ERP means → records a week of structured behavior → AI summarizes patterns → user chooses to share selected data → verified practitioner reviews it → practitioner provides a next step/referral → user continues tracking.</w:t>
            </w:r>
          </w:p>
        </w:tc>
      </w:tr>
    </w:tbl>
    <w:p/>
    <w:p>
      <w:pPr>
        <w:pStyle w:val="Heading2"/>
      </w:pPr>
      <w:r>
        <w:t>13.1 Must-have features</w:t>
      </w:r>
    </w:p>
    <w:p>
      <w:pPr>
        <w:pStyle w:val="ListBullet"/>
        <w:spacing w:after="40"/>
      </w:pPr>
      <w:r>
        <w:t>User authentication with Cognito.</w:t>
      </w:r>
    </w:p>
    <w:p>
      <w:pPr>
        <w:pStyle w:val="ListBullet"/>
        <w:spacing w:after="40"/>
      </w:pPr>
      <w:r>
        <w:t>Educational OCD/ERP modules.</w:t>
      </w:r>
    </w:p>
    <w:p>
      <w:pPr>
        <w:pStyle w:val="ListBullet"/>
        <w:spacing w:after="40"/>
      </w:pPr>
      <w:r>
        <w:t>Behavioral journal and practice log.</w:t>
      </w:r>
    </w:p>
    <w:p>
      <w:pPr>
        <w:pStyle w:val="ListBullet"/>
        <w:spacing w:after="40"/>
      </w:pPr>
      <w:r>
        <w:t>Progress dashboard.</w:t>
      </w:r>
    </w:p>
    <w:p>
      <w:pPr>
        <w:pStyle w:val="ListBullet"/>
        <w:spacing w:after="40"/>
      </w:pPr>
      <w:r>
        <w:t>AI weekly behavioral summary via Bedrock.</w:t>
      </w:r>
    </w:p>
    <w:p>
      <w:pPr>
        <w:pStyle w:val="ListBullet"/>
        <w:spacing w:after="40"/>
      </w:pPr>
      <w:r>
        <w:t>Practitioner registration + admin verification mock/workflow.</w:t>
      </w:r>
    </w:p>
    <w:p>
      <w:pPr>
        <w:pStyle w:val="ListBullet"/>
        <w:spacing w:after="40"/>
      </w:pPr>
      <w:r>
        <w:t>Consent-based practitioner connection.</w:t>
      </w:r>
    </w:p>
    <w:p>
      <w:pPr>
        <w:pStyle w:val="ListBullet"/>
        <w:spacing w:after="40"/>
      </w:pPr>
      <w:r>
        <w:t>Practitioner dashboard with user-authorized summary.</w:t>
      </w:r>
    </w:p>
    <w:p>
      <w:pPr>
        <w:pStyle w:val="ListBullet"/>
        <w:spacing w:after="40"/>
      </w:pPr>
      <w:r>
        <w:t>Referral / escalation recommendation field.</w:t>
      </w:r>
    </w:p>
    <w:p>
      <w:pPr>
        <w:pStyle w:val="ListBullet"/>
        <w:spacing w:after="40"/>
      </w:pPr>
      <w:r>
        <w:t>Safety resources including Tele-MANAS.</w:t>
      </w:r>
    </w:p>
    <w:p>
      <w:pPr>
        <w:pStyle w:val="ListBullet"/>
        <w:spacing w:after="40"/>
      </w:pPr>
      <w:r>
        <w:t>AWS deployment with a public URL.</w:t>
      </w:r>
    </w:p>
    <w:p>
      <w:pPr>
        <w:pStyle w:val="ListBullet"/>
        <w:spacing w:after="40"/>
      </w:pPr>
      <w:r>
        <w:t>Public GitHub repository and a 3-minute demo video, matching submission requirements. [2]</w:t>
      </w:r>
    </w:p>
    <w:p>
      <w:pPr>
        <w:pStyle w:val="Heading2"/>
      </w:pPr>
      <w:r>
        <w:t>13.2 Features to mock or defer</w:t>
      </w:r>
    </w:p>
    <w:p>
      <w:pPr>
        <w:pStyle w:val="ListBullet"/>
        <w:spacing w:after="40"/>
      </w:pPr>
      <w:r>
        <w:t>Real-time encrypted video consultation.</w:t>
      </w:r>
    </w:p>
    <w:p>
      <w:pPr>
        <w:pStyle w:val="ListBullet"/>
        <w:spacing w:after="40"/>
      </w:pPr>
      <w:r>
        <w:t>Integrated payments.</w:t>
      </w:r>
    </w:p>
    <w:p>
      <w:pPr>
        <w:pStyle w:val="ListBullet"/>
        <w:spacing w:after="40"/>
      </w:pPr>
      <w:r>
        <w:t>Nationwide automated practitioner registry verification.</w:t>
      </w:r>
    </w:p>
    <w:p>
      <w:pPr>
        <w:pStyle w:val="ListBullet"/>
        <w:spacing w:after="40"/>
      </w:pPr>
      <w:r>
        <w:t>Large peer community.</w:t>
      </w:r>
    </w:p>
    <w:p>
      <w:pPr>
        <w:pStyle w:val="ListBullet"/>
        <w:spacing w:after="40"/>
      </w:pPr>
      <w:r>
        <w:t>Automated therapist-prescribed exposure hierarchy generation.</w:t>
      </w:r>
    </w:p>
    <w:p>
      <w:pPr>
        <w:pStyle w:val="ListBullet"/>
        <w:spacing w:after="40"/>
      </w:pPr>
      <w:r>
        <w:t>Population-level public-health dashboards.</w:t>
      </w:r>
    </w:p>
    <w:p>
      <w:pPr>
        <w:pStyle w:val="ListBullet"/>
        <w:spacing w:after="40"/>
      </w:pPr>
      <w:r>
        <w:t>Complex insurance/health-record interoperability.</w:t>
      </w:r>
    </w:p>
    <w:p>
      <w:pPr>
        <w:pStyle w:val="ListBullet"/>
        <w:spacing w:after="40"/>
      </w:pPr>
      <w:r>
        <w:t>Native mobile applications.</w:t>
      </w:r>
    </w:p>
    <w:p>
      <w:pPr>
        <w:pStyle w:val="Heading2"/>
      </w:pPr>
      <w:r>
        <w:t>13.3 Why this scope is right for Bharat Builds</w:t>
      </w:r>
    </w:p>
    <w:p>
      <w:r>
        <w:t>The event explicitly says a small problem solved well beats a big problem solved vaguely, and that working features matter more than a feature that exists only in the write-up. The deployed track also scores AWS architecture and cost decisions. Therefore, the strongest submission is one end-to-end user journey that works reliably, visibly uses AWS, and demonstrates a thoughtful safety/privacy model. [1]</w:t>
      </w:r>
    </w:p>
    <w:p>
      <w:pPr>
        <w:pStyle w:val="Heading1"/>
      </w:pPr>
      <w:r>
        <w:t>14. Three-Minute Demo Narrative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296"/>
            <w:vAlign w:val="center"/>
            <w:shd w:fill="304F73"/>
          </w:tcPr>
          <w:p>
            <w:pPr>
              <w:spacing w:after="0"/>
            </w:pPr>
            <w:r/>
            <w:r>
              <w:rPr>
                <w:rFonts w:ascii="Aptos" w:hAnsi="Aptos"/>
                <w:b/>
                <w:color w:val="FFFFFF"/>
                <w:sz w:val="16"/>
              </w:rPr>
              <w:t>Time</w:t>
            </w:r>
          </w:p>
        </w:tc>
        <w:tc>
          <w:tcPr>
            <w:tcW w:type="dxa" w:w="2232"/>
            <w:vAlign w:val="center"/>
            <w:shd w:fill="304F73"/>
          </w:tcPr>
          <w:p>
            <w:pPr>
              <w:spacing w:after="0"/>
            </w:pPr>
            <w:r/>
            <w:r>
              <w:rPr>
                <w:rFonts w:ascii="Aptos" w:hAnsi="Aptos"/>
                <w:b/>
                <w:color w:val="FFFFFF"/>
                <w:sz w:val="16"/>
              </w:rPr>
              <w:t>Screen</w:t>
            </w:r>
          </w:p>
        </w:tc>
        <w:tc>
          <w:tcPr>
            <w:tcW w:type="dxa" w:w="7128"/>
            <w:vAlign w:val="center"/>
            <w:shd w:fill="304F73"/>
          </w:tcPr>
          <w:p>
            <w:pPr>
              <w:spacing w:after="0"/>
            </w:pPr>
            <w:r/>
            <w:r>
              <w:rPr>
                <w:rFonts w:ascii="Aptos" w:hAnsi="Aptos"/>
                <w:b/>
                <w:color w:val="FFFFFF"/>
                <w:sz w:val="16"/>
              </w:rPr>
              <w:t>Narrative</w:t>
            </w:r>
          </w:p>
        </w:tc>
      </w:tr>
      <w:tr>
        <w:tc>
          <w:tcPr>
            <w:tcW w:type="dxa" w:w="1296"/>
            <w:vAlign w:val="center"/>
          </w:tcPr>
          <w:p>
            <w:pPr>
              <w:spacing w:after="0"/>
            </w:pPr>
            <w:r/>
            <w:r>
              <w:rPr>
                <w:rFonts w:ascii="Aptos" w:hAnsi="Aptos"/>
                <w:b w:val="0"/>
                <w:color w:val="232323"/>
                <w:sz w:val="16"/>
              </w:rPr>
              <w:t>0:00–0:20</w:t>
            </w:r>
          </w:p>
        </w:tc>
        <w:tc>
          <w:tcPr>
            <w:tcW w:type="dxa" w:w="2232"/>
            <w:vAlign w:val="center"/>
          </w:tcPr>
          <w:p>
            <w:pPr>
              <w:spacing w:after="0"/>
            </w:pPr>
            <w:r/>
            <w:r>
              <w:rPr>
                <w:rFonts w:ascii="Aptos" w:hAnsi="Aptos"/>
                <w:b w:val="0"/>
                <w:color w:val="232323"/>
                <w:sz w:val="16"/>
              </w:rPr>
              <w:t>Landing page</w:t>
            </w:r>
          </w:p>
        </w:tc>
        <w:tc>
          <w:tcPr>
            <w:tcW w:type="dxa" w:w="7128"/>
            <w:vAlign w:val="center"/>
          </w:tcPr>
          <w:p>
            <w:pPr>
              <w:spacing w:after="0"/>
            </w:pPr>
            <w:r/>
            <w:r>
              <w:rPr>
                <w:rFonts w:ascii="Aptos" w:hAnsi="Aptos"/>
                <w:b w:val="0"/>
                <w:color w:val="232323"/>
                <w:sz w:val="16"/>
              </w:rPr>
              <w:t>Show the problem in one sentence and the promise: structured support between sessions.</w:t>
            </w:r>
          </w:p>
        </w:tc>
      </w:tr>
      <w:tr>
        <w:tc>
          <w:tcPr>
            <w:tcW w:type="dxa" w:w="1296"/>
            <w:vAlign w:val="center"/>
            <w:shd w:fill="F5F8FB"/>
          </w:tcPr>
          <w:p>
            <w:pPr>
              <w:spacing w:after="0"/>
            </w:pPr>
            <w:r/>
            <w:r>
              <w:rPr>
                <w:rFonts w:ascii="Aptos" w:hAnsi="Aptos"/>
                <w:b w:val="0"/>
                <w:color w:val="232323"/>
                <w:sz w:val="16"/>
              </w:rPr>
              <w:t>0:20–0:50</w:t>
            </w:r>
          </w:p>
        </w:tc>
        <w:tc>
          <w:tcPr>
            <w:tcW w:type="dxa" w:w="2232"/>
            <w:vAlign w:val="center"/>
            <w:shd w:fill="F5F8FB"/>
          </w:tcPr>
          <w:p>
            <w:pPr>
              <w:spacing w:after="0"/>
            </w:pPr>
            <w:r/>
            <w:r>
              <w:rPr>
                <w:rFonts w:ascii="Aptos" w:hAnsi="Aptos"/>
                <w:b w:val="0"/>
                <w:color w:val="232323"/>
                <w:sz w:val="16"/>
              </w:rPr>
              <w:t>User onboarding</w:t>
            </w:r>
          </w:p>
        </w:tc>
        <w:tc>
          <w:tcPr>
            <w:tcW w:type="dxa" w:w="7128"/>
            <w:vAlign w:val="center"/>
            <w:shd w:fill="F5F8FB"/>
          </w:tcPr>
          <w:p>
            <w:pPr>
              <w:spacing w:after="0"/>
            </w:pPr>
            <w:r/>
            <w:r>
              <w:rPr>
                <w:rFonts w:ascii="Aptos" w:hAnsi="Aptos"/>
                <w:b w:val="0"/>
                <w:color w:val="232323"/>
                <w:sz w:val="16"/>
              </w:rPr>
              <w:t>Create a demo user and show privacy/consent choices.</w:t>
            </w:r>
          </w:p>
        </w:tc>
      </w:tr>
      <w:tr>
        <w:tc>
          <w:tcPr>
            <w:tcW w:type="dxa" w:w="1296"/>
            <w:vAlign w:val="center"/>
          </w:tcPr>
          <w:p>
            <w:pPr>
              <w:spacing w:after="0"/>
            </w:pPr>
            <w:r/>
            <w:r>
              <w:rPr>
                <w:rFonts w:ascii="Aptos" w:hAnsi="Aptos"/>
                <w:b w:val="0"/>
                <w:color w:val="232323"/>
                <w:sz w:val="16"/>
              </w:rPr>
              <w:t>0:50–1:20</w:t>
            </w:r>
          </w:p>
        </w:tc>
        <w:tc>
          <w:tcPr>
            <w:tcW w:type="dxa" w:w="2232"/>
            <w:vAlign w:val="center"/>
          </w:tcPr>
          <w:p>
            <w:pPr>
              <w:spacing w:after="0"/>
            </w:pPr>
            <w:r/>
            <w:r>
              <w:rPr>
                <w:rFonts w:ascii="Aptos" w:hAnsi="Aptos"/>
                <w:b w:val="0"/>
                <w:color w:val="232323"/>
                <w:sz w:val="16"/>
              </w:rPr>
              <w:t>Behavior log</w:t>
            </w:r>
          </w:p>
        </w:tc>
        <w:tc>
          <w:tcPr>
            <w:tcW w:type="dxa" w:w="7128"/>
            <w:vAlign w:val="center"/>
          </w:tcPr>
          <w:p>
            <w:pPr>
              <w:spacing w:after="0"/>
            </w:pPr>
            <w:r/>
            <w:r>
              <w:rPr>
                <w:rFonts w:ascii="Aptos" w:hAnsi="Aptos"/>
                <w:b w:val="0"/>
                <w:color w:val="232323"/>
                <w:sz w:val="16"/>
              </w:rPr>
              <w:t>Enter 2–3 sample events and show the dashboard changing.</w:t>
            </w:r>
          </w:p>
        </w:tc>
      </w:tr>
      <w:tr>
        <w:tc>
          <w:tcPr>
            <w:tcW w:type="dxa" w:w="1296"/>
            <w:vAlign w:val="center"/>
            <w:shd w:fill="F5F8FB"/>
          </w:tcPr>
          <w:p>
            <w:pPr>
              <w:spacing w:after="0"/>
            </w:pPr>
            <w:r/>
            <w:r>
              <w:rPr>
                <w:rFonts w:ascii="Aptos" w:hAnsi="Aptos"/>
                <w:b w:val="0"/>
                <w:color w:val="232323"/>
                <w:sz w:val="16"/>
              </w:rPr>
              <w:t>1:20–1:45</w:t>
            </w:r>
          </w:p>
        </w:tc>
        <w:tc>
          <w:tcPr>
            <w:tcW w:type="dxa" w:w="2232"/>
            <w:vAlign w:val="center"/>
            <w:shd w:fill="F5F8FB"/>
          </w:tcPr>
          <w:p>
            <w:pPr>
              <w:spacing w:after="0"/>
            </w:pPr>
            <w:r/>
            <w:r>
              <w:rPr>
                <w:rFonts w:ascii="Aptos" w:hAnsi="Aptos"/>
                <w:b w:val="0"/>
                <w:color w:val="232323"/>
                <w:sz w:val="16"/>
              </w:rPr>
              <w:t>AI insight</w:t>
            </w:r>
          </w:p>
        </w:tc>
        <w:tc>
          <w:tcPr>
            <w:tcW w:type="dxa" w:w="7128"/>
            <w:vAlign w:val="center"/>
            <w:shd w:fill="F5F8FB"/>
          </w:tcPr>
          <w:p>
            <w:pPr>
              <w:spacing w:after="0"/>
            </w:pPr>
            <w:r/>
            <w:r>
              <w:rPr>
                <w:rFonts w:ascii="Aptos" w:hAnsi="Aptos"/>
                <w:b w:val="0"/>
                <w:color w:val="232323"/>
                <w:sz w:val="16"/>
              </w:rPr>
              <w:t>Generate a concise behavioral summary grounded in actual logged metrics.</w:t>
            </w:r>
          </w:p>
        </w:tc>
      </w:tr>
      <w:tr>
        <w:tc>
          <w:tcPr>
            <w:tcW w:type="dxa" w:w="1296"/>
            <w:vAlign w:val="center"/>
          </w:tcPr>
          <w:p>
            <w:pPr>
              <w:spacing w:after="0"/>
            </w:pPr>
            <w:r/>
            <w:r>
              <w:rPr>
                <w:rFonts w:ascii="Aptos" w:hAnsi="Aptos"/>
                <w:b w:val="0"/>
                <w:color w:val="232323"/>
                <w:sz w:val="16"/>
              </w:rPr>
              <w:t>1:45–2:20</w:t>
            </w:r>
          </w:p>
        </w:tc>
        <w:tc>
          <w:tcPr>
            <w:tcW w:type="dxa" w:w="2232"/>
            <w:vAlign w:val="center"/>
          </w:tcPr>
          <w:p>
            <w:pPr>
              <w:spacing w:after="0"/>
            </w:pPr>
            <w:r/>
            <w:r>
              <w:rPr>
                <w:rFonts w:ascii="Aptos" w:hAnsi="Aptos"/>
                <w:b w:val="0"/>
                <w:color w:val="232323"/>
                <w:sz w:val="16"/>
              </w:rPr>
              <w:t>Professional side</w:t>
            </w:r>
          </w:p>
        </w:tc>
        <w:tc>
          <w:tcPr>
            <w:tcW w:type="dxa" w:w="7128"/>
            <w:vAlign w:val="center"/>
          </w:tcPr>
          <w:p>
            <w:pPr>
              <w:spacing w:after="0"/>
            </w:pPr>
            <w:r/>
            <w:r>
              <w:rPr>
                <w:rFonts w:ascii="Aptos" w:hAnsi="Aptos"/>
                <w:b w:val="0"/>
                <w:color w:val="232323"/>
                <w:sz w:val="16"/>
              </w:rPr>
              <w:t>Switch to a verified demo practitioner; show consented data only; add a referral/next-step note.</w:t>
            </w:r>
          </w:p>
        </w:tc>
      </w:tr>
      <w:tr>
        <w:tc>
          <w:tcPr>
            <w:tcW w:type="dxa" w:w="1296"/>
            <w:vAlign w:val="center"/>
            <w:shd w:fill="F5F8FB"/>
          </w:tcPr>
          <w:p>
            <w:pPr>
              <w:spacing w:after="0"/>
            </w:pPr>
            <w:r/>
            <w:r>
              <w:rPr>
                <w:rFonts w:ascii="Aptos" w:hAnsi="Aptos"/>
                <w:b w:val="0"/>
                <w:color w:val="232323"/>
                <w:sz w:val="16"/>
              </w:rPr>
              <w:t>2:20–2:45</w:t>
            </w:r>
          </w:p>
        </w:tc>
        <w:tc>
          <w:tcPr>
            <w:tcW w:type="dxa" w:w="2232"/>
            <w:vAlign w:val="center"/>
            <w:shd w:fill="F5F8FB"/>
          </w:tcPr>
          <w:p>
            <w:pPr>
              <w:spacing w:after="0"/>
            </w:pPr>
            <w:r/>
            <w:r>
              <w:rPr>
                <w:rFonts w:ascii="Aptos" w:hAnsi="Aptos"/>
                <w:b w:val="0"/>
                <w:color w:val="232323"/>
                <w:sz w:val="16"/>
              </w:rPr>
              <w:t>AWS / architecture</w:t>
            </w:r>
          </w:p>
        </w:tc>
        <w:tc>
          <w:tcPr>
            <w:tcW w:type="dxa" w:w="7128"/>
            <w:vAlign w:val="center"/>
            <w:shd w:fill="F5F8FB"/>
          </w:tcPr>
          <w:p>
            <w:pPr>
              <w:spacing w:after="0"/>
            </w:pPr>
            <w:r/>
            <w:r>
              <w:rPr>
                <w:rFonts w:ascii="Aptos" w:hAnsi="Aptos"/>
                <w:b w:val="0"/>
                <w:color w:val="232323"/>
                <w:sz w:val="16"/>
              </w:rPr>
              <w:t>Briefly show AWS services used and the live URL.</w:t>
            </w:r>
          </w:p>
        </w:tc>
      </w:tr>
      <w:tr>
        <w:tc>
          <w:tcPr>
            <w:tcW w:type="dxa" w:w="1296"/>
            <w:vAlign w:val="center"/>
          </w:tcPr>
          <w:p>
            <w:pPr>
              <w:spacing w:after="0"/>
            </w:pPr>
            <w:r/>
            <w:r>
              <w:rPr>
                <w:rFonts w:ascii="Aptos" w:hAnsi="Aptos"/>
                <w:b w:val="0"/>
                <w:color w:val="232323"/>
                <w:sz w:val="16"/>
              </w:rPr>
              <w:t>2:45–3:00</w:t>
            </w:r>
          </w:p>
        </w:tc>
        <w:tc>
          <w:tcPr>
            <w:tcW w:type="dxa" w:w="2232"/>
            <w:vAlign w:val="center"/>
          </w:tcPr>
          <w:p>
            <w:pPr>
              <w:spacing w:after="0"/>
            </w:pPr>
            <w:r/>
            <w:r>
              <w:rPr>
                <w:rFonts w:ascii="Aptos" w:hAnsi="Aptos"/>
                <w:b w:val="0"/>
                <w:color w:val="232323"/>
                <w:sz w:val="16"/>
              </w:rPr>
              <w:t>Impact / future</w:t>
            </w:r>
          </w:p>
        </w:tc>
        <w:tc>
          <w:tcPr>
            <w:tcW w:type="dxa" w:w="7128"/>
            <w:vAlign w:val="center"/>
          </w:tcPr>
          <w:p>
            <w:pPr>
              <w:spacing w:after="0"/>
            </w:pPr>
            <w:r/>
            <w:r>
              <w:rPr>
                <w:rFonts w:ascii="Aptos" w:hAnsi="Aptos"/>
                <w:b w:val="0"/>
                <w:color w:val="232323"/>
                <w:sz w:val="16"/>
              </w:rPr>
              <w:t>Explain how the same architecture could scale to broader mental-health continuity without changing the safety principles.</w:t>
            </w:r>
          </w:p>
        </w:tc>
      </w:tr>
    </w:tbl>
    <w:p/>
    <w:p>
      <w:pPr>
        <w:pStyle w:val="Heading1"/>
      </w:pPr>
      <w:r>
        <w:t>15. Success Metrics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656"/>
            <w:vAlign w:val="center"/>
            <w:shd w:fill="304F73"/>
          </w:tcPr>
          <w:p>
            <w:pPr>
              <w:spacing w:after="0"/>
            </w:pPr>
            <w:r/>
            <w:r>
              <w:rPr>
                <w:rFonts w:ascii="Aptos" w:hAnsi="Aptos"/>
                <w:b/>
                <w:color w:val="FFFFFF"/>
                <w:sz w:val="16"/>
              </w:rPr>
              <w:t>Layer</w:t>
            </w:r>
          </w:p>
        </w:tc>
        <w:tc>
          <w:tcPr>
            <w:tcW w:type="dxa" w:w="3168"/>
            <w:vAlign w:val="center"/>
            <w:shd w:fill="304F73"/>
          </w:tcPr>
          <w:p>
            <w:pPr>
              <w:spacing w:after="0"/>
            </w:pPr>
            <w:r/>
            <w:r>
              <w:rPr>
                <w:rFonts w:ascii="Aptos" w:hAnsi="Aptos"/>
                <w:b/>
                <w:color w:val="FFFFFF"/>
                <w:sz w:val="16"/>
              </w:rPr>
              <w:t>Metric</w:t>
            </w:r>
          </w:p>
        </w:tc>
        <w:tc>
          <w:tcPr>
            <w:tcW w:type="dxa" w:w="5832"/>
            <w:vAlign w:val="center"/>
            <w:shd w:fill="304F73"/>
          </w:tcPr>
          <w:p>
            <w:pPr>
              <w:spacing w:after="0"/>
            </w:pPr>
            <w:r/>
            <w:r>
              <w:rPr>
                <w:rFonts w:ascii="Aptos" w:hAnsi="Aptos"/>
                <w:b/>
                <w:color w:val="FFFFFF"/>
                <w:sz w:val="16"/>
              </w:rPr>
              <w:t>Initial target / interpretation</w:t>
            </w:r>
          </w:p>
        </w:tc>
      </w:tr>
      <w:tr>
        <w:tc>
          <w:tcPr>
            <w:tcW w:type="dxa" w:w="1656"/>
            <w:vAlign w:val="center"/>
          </w:tcPr>
          <w:p>
            <w:pPr>
              <w:spacing w:after="0"/>
            </w:pPr>
            <w:r/>
            <w:r>
              <w:rPr>
                <w:rFonts w:ascii="Aptos" w:hAnsi="Aptos"/>
                <w:b w:val="0"/>
                <w:color w:val="232323"/>
                <w:sz w:val="16"/>
              </w:rPr>
              <w:t>Product</w:t>
            </w:r>
          </w:p>
        </w:tc>
        <w:tc>
          <w:tcPr>
            <w:tcW w:type="dxa" w:w="3168"/>
            <w:vAlign w:val="center"/>
          </w:tcPr>
          <w:p>
            <w:pPr>
              <w:spacing w:after="0"/>
            </w:pPr>
            <w:r/>
            <w:r>
              <w:rPr>
                <w:rFonts w:ascii="Aptos" w:hAnsi="Aptos"/>
                <w:b w:val="0"/>
                <w:color w:val="232323"/>
                <w:sz w:val="16"/>
              </w:rPr>
              <w:t>Onboarding completion</w:t>
            </w:r>
          </w:p>
        </w:tc>
        <w:tc>
          <w:tcPr>
            <w:tcW w:type="dxa" w:w="5832"/>
            <w:vAlign w:val="center"/>
          </w:tcPr>
          <w:p>
            <w:pPr>
              <w:spacing w:after="0"/>
            </w:pPr>
            <w:r/>
            <w:r>
              <w:rPr>
                <w:rFonts w:ascii="Aptos" w:hAnsi="Aptos"/>
                <w:b w:val="0"/>
                <w:color w:val="232323"/>
                <w:sz w:val="16"/>
              </w:rPr>
              <w:t>Measures friction; set target after pilot baseline.</w:t>
            </w:r>
          </w:p>
        </w:tc>
      </w:tr>
      <w:tr>
        <w:tc>
          <w:tcPr>
            <w:tcW w:type="dxa" w:w="1656"/>
            <w:vAlign w:val="center"/>
            <w:shd w:fill="F5F8FB"/>
          </w:tcPr>
          <w:p>
            <w:pPr>
              <w:spacing w:after="0"/>
            </w:pPr>
            <w:r/>
            <w:r>
              <w:rPr>
                <w:rFonts w:ascii="Aptos" w:hAnsi="Aptos"/>
                <w:b w:val="0"/>
                <w:color w:val="232323"/>
                <w:sz w:val="16"/>
              </w:rPr>
              <w:t>Product</w:t>
            </w:r>
          </w:p>
        </w:tc>
        <w:tc>
          <w:tcPr>
            <w:tcW w:type="dxa" w:w="3168"/>
            <w:vAlign w:val="center"/>
            <w:shd w:fill="F5F8FB"/>
          </w:tcPr>
          <w:p>
            <w:pPr>
              <w:spacing w:after="0"/>
            </w:pPr>
            <w:r/>
            <w:r>
              <w:rPr>
                <w:rFonts w:ascii="Aptos" w:hAnsi="Aptos"/>
                <w:b w:val="0"/>
                <w:color w:val="232323"/>
                <w:sz w:val="16"/>
              </w:rPr>
              <w:t>Weekly logging adherence</w:t>
            </w:r>
          </w:p>
        </w:tc>
        <w:tc>
          <w:tcPr>
            <w:tcW w:type="dxa" w:w="5832"/>
            <w:vAlign w:val="center"/>
            <w:shd w:fill="F5F8FB"/>
          </w:tcPr>
          <w:p>
            <w:pPr>
              <w:spacing w:after="0"/>
            </w:pPr>
            <w:r/>
            <w:r>
              <w:rPr>
                <w:rFonts w:ascii="Aptos" w:hAnsi="Aptos"/>
                <w:b w:val="0"/>
                <w:color w:val="232323"/>
                <w:sz w:val="16"/>
              </w:rPr>
              <w:t>Measures whether tracking is usable.</w:t>
            </w:r>
          </w:p>
        </w:tc>
      </w:tr>
      <w:tr>
        <w:tc>
          <w:tcPr>
            <w:tcW w:type="dxa" w:w="1656"/>
            <w:vAlign w:val="center"/>
          </w:tcPr>
          <w:p>
            <w:pPr>
              <w:spacing w:after="0"/>
            </w:pPr>
            <w:r/>
            <w:r>
              <w:rPr>
                <w:rFonts w:ascii="Aptos" w:hAnsi="Aptos"/>
                <w:b w:val="0"/>
                <w:color w:val="232323"/>
                <w:sz w:val="16"/>
              </w:rPr>
              <w:t>AI</w:t>
            </w:r>
          </w:p>
        </w:tc>
        <w:tc>
          <w:tcPr>
            <w:tcW w:type="dxa" w:w="3168"/>
            <w:vAlign w:val="center"/>
          </w:tcPr>
          <w:p>
            <w:pPr>
              <w:spacing w:after="0"/>
            </w:pPr>
            <w:r/>
            <w:r>
              <w:rPr>
                <w:rFonts w:ascii="Aptos" w:hAnsi="Aptos"/>
                <w:b w:val="0"/>
                <w:color w:val="232323"/>
                <w:sz w:val="16"/>
              </w:rPr>
              <w:t>Insight grounding rate</w:t>
            </w:r>
          </w:p>
        </w:tc>
        <w:tc>
          <w:tcPr>
            <w:tcW w:type="dxa" w:w="5832"/>
            <w:vAlign w:val="center"/>
          </w:tcPr>
          <w:p>
            <w:pPr>
              <w:spacing w:after="0"/>
            </w:pPr>
            <w:r/>
            <w:r>
              <w:rPr>
                <w:rFonts w:ascii="Aptos" w:hAnsi="Aptos"/>
                <w:b w:val="0"/>
                <w:color w:val="232323"/>
                <w:sz w:val="16"/>
              </w:rPr>
              <w:t>100% of displayed claims traceable to visible source metrics.</w:t>
            </w:r>
          </w:p>
        </w:tc>
      </w:tr>
      <w:tr>
        <w:tc>
          <w:tcPr>
            <w:tcW w:type="dxa" w:w="1656"/>
            <w:vAlign w:val="center"/>
            <w:shd w:fill="F5F8FB"/>
          </w:tcPr>
          <w:p>
            <w:pPr>
              <w:spacing w:after="0"/>
            </w:pPr>
            <w:r/>
            <w:r>
              <w:rPr>
                <w:rFonts w:ascii="Aptos" w:hAnsi="Aptos"/>
                <w:b w:val="0"/>
                <w:color w:val="232323"/>
                <w:sz w:val="16"/>
              </w:rPr>
              <w:t>Safety</w:t>
            </w:r>
          </w:p>
        </w:tc>
        <w:tc>
          <w:tcPr>
            <w:tcW w:type="dxa" w:w="3168"/>
            <w:vAlign w:val="center"/>
            <w:shd w:fill="F5F8FB"/>
          </w:tcPr>
          <w:p>
            <w:pPr>
              <w:spacing w:after="0"/>
            </w:pPr>
            <w:r/>
            <w:r>
              <w:rPr>
                <w:rFonts w:ascii="Aptos" w:hAnsi="Aptos"/>
                <w:b w:val="0"/>
                <w:color w:val="232323"/>
                <w:sz w:val="16"/>
              </w:rPr>
              <w:t>Unsafe clinical outputs</w:t>
            </w:r>
          </w:p>
        </w:tc>
        <w:tc>
          <w:tcPr>
            <w:tcW w:type="dxa" w:w="5832"/>
            <w:vAlign w:val="center"/>
            <w:shd w:fill="F5F8FB"/>
          </w:tcPr>
          <w:p>
            <w:pPr>
              <w:spacing w:after="0"/>
            </w:pPr>
            <w:r/>
            <w:r>
              <w:rPr>
                <w:rFonts w:ascii="Aptos" w:hAnsi="Aptos"/>
                <w:b w:val="0"/>
                <w:color w:val="232323"/>
                <w:sz w:val="16"/>
              </w:rPr>
              <w:t>Zero intended diagnoses/medication recommendations in scripted tests.</w:t>
            </w:r>
          </w:p>
        </w:tc>
      </w:tr>
      <w:tr>
        <w:tc>
          <w:tcPr>
            <w:tcW w:type="dxa" w:w="1656"/>
            <w:vAlign w:val="center"/>
          </w:tcPr>
          <w:p>
            <w:pPr>
              <w:spacing w:after="0"/>
            </w:pPr>
            <w:r/>
            <w:r>
              <w:rPr>
                <w:rFonts w:ascii="Aptos" w:hAnsi="Aptos"/>
                <w:b w:val="0"/>
                <w:color w:val="232323"/>
                <w:sz w:val="16"/>
              </w:rPr>
              <w:t>Privacy</w:t>
            </w:r>
          </w:p>
        </w:tc>
        <w:tc>
          <w:tcPr>
            <w:tcW w:type="dxa" w:w="3168"/>
            <w:vAlign w:val="center"/>
          </w:tcPr>
          <w:p>
            <w:pPr>
              <w:spacing w:after="0"/>
            </w:pPr>
            <w:r/>
            <w:r>
              <w:rPr>
                <w:rFonts w:ascii="Aptos" w:hAnsi="Aptos"/>
                <w:b w:val="0"/>
                <w:color w:val="232323"/>
                <w:sz w:val="16"/>
              </w:rPr>
              <w:t>Unauthorized access incidents</w:t>
            </w:r>
          </w:p>
        </w:tc>
        <w:tc>
          <w:tcPr>
            <w:tcW w:type="dxa" w:w="5832"/>
            <w:vAlign w:val="center"/>
          </w:tcPr>
          <w:p>
            <w:pPr>
              <w:spacing w:after="0"/>
            </w:pPr>
            <w:r/>
            <w:r>
              <w:rPr>
                <w:rFonts w:ascii="Aptos" w:hAnsi="Aptos"/>
                <w:b w:val="0"/>
                <w:color w:val="232323"/>
                <w:sz w:val="16"/>
              </w:rPr>
              <w:t>Zero in MVP testing.</w:t>
            </w:r>
          </w:p>
        </w:tc>
      </w:tr>
      <w:tr>
        <w:tc>
          <w:tcPr>
            <w:tcW w:type="dxa" w:w="1656"/>
            <w:vAlign w:val="center"/>
            <w:shd w:fill="F5F8FB"/>
          </w:tcPr>
          <w:p>
            <w:pPr>
              <w:spacing w:after="0"/>
            </w:pPr>
            <w:r/>
            <w:r>
              <w:rPr>
                <w:rFonts w:ascii="Aptos" w:hAnsi="Aptos"/>
                <w:b w:val="0"/>
                <w:color w:val="232323"/>
                <w:sz w:val="16"/>
              </w:rPr>
              <w:t>Professional</w:t>
            </w:r>
          </w:p>
        </w:tc>
        <w:tc>
          <w:tcPr>
            <w:tcW w:type="dxa" w:w="3168"/>
            <w:vAlign w:val="center"/>
            <w:shd w:fill="F5F8FB"/>
          </w:tcPr>
          <w:p>
            <w:pPr>
              <w:spacing w:after="0"/>
            </w:pPr>
            <w:r/>
            <w:r>
              <w:rPr>
                <w:rFonts w:ascii="Aptos" w:hAnsi="Aptos"/>
                <w:b w:val="0"/>
                <w:color w:val="232323"/>
                <w:sz w:val="16"/>
              </w:rPr>
              <w:t>Verified profile completion</w:t>
            </w:r>
          </w:p>
        </w:tc>
        <w:tc>
          <w:tcPr>
            <w:tcW w:type="dxa" w:w="5832"/>
            <w:vAlign w:val="center"/>
            <w:shd w:fill="F5F8FB"/>
          </w:tcPr>
          <w:p>
            <w:pPr>
              <w:spacing w:after="0"/>
            </w:pPr>
            <w:r/>
            <w:r>
              <w:rPr>
                <w:rFonts w:ascii="Aptos" w:hAnsi="Aptos"/>
                <w:b w:val="0"/>
                <w:color w:val="232323"/>
                <w:sz w:val="16"/>
              </w:rPr>
              <w:t>Measures whether credential flow works.</w:t>
            </w:r>
          </w:p>
        </w:tc>
      </w:tr>
      <w:tr>
        <w:tc>
          <w:tcPr>
            <w:tcW w:type="dxa" w:w="1656"/>
            <w:vAlign w:val="center"/>
          </w:tcPr>
          <w:p>
            <w:pPr>
              <w:spacing w:after="0"/>
            </w:pPr>
            <w:r/>
            <w:r>
              <w:rPr>
                <w:rFonts w:ascii="Aptos" w:hAnsi="Aptos"/>
                <w:b w:val="0"/>
                <w:color w:val="232323"/>
                <w:sz w:val="16"/>
              </w:rPr>
              <w:t>Continuity</w:t>
            </w:r>
          </w:p>
        </w:tc>
        <w:tc>
          <w:tcPr>
            <w:tcW w:type="dxa" w:w="3168"/>
            <w:vAlign w:val="center"/>
          </w:tcPr>
          <w:p>
            <w:pPr>
              <w:spacing w:after="0"/>
            </w:pPr>
            <w:r/>
            <w:r>
              <w:rPr>
                <w:rFonts w:ascii="Aptos" w:hAnsi="Aptos"/>
                <w:b w:val="0"/>
                <w:color w:val="232323"/>
                <w:sz w:val="16"/>
              </w:rPr>
              <w:t>User-to-professional connection rate</w:t>
            </w:r>
          </w:p>
        </w:tc>
        <w:tc>
          <w:tcPr>
            <w:tcW w:type="dxa" w:w="5832"/>
            <w:vAlign w:val="center"/>
          </w:tcPr>
          <w:p>
            <w:pPr>
              <w:spacing w:after="0"/>
            </w:pPr>
            <w:r/>
            <w:r>
              <w:rPr>
                <w:rFonts w:ascii="Aptos" w:hAnsi="Aptos"/>
                <w:b w:val="0"/>
                <w:color w:val="232323"/>
                <w:sz w:val="16"/>
              </w:rPr>
              <w:t>Measures usefulness of escalation pathway.</w:t>
            </w:r>
          </w:p>
        </w:tc>
      </w:tr>
      <w:tr>
        <w:tc>
          <w:tcPr>
            <w:tcW w:type="dxa" w:w="1656"/>
            <w:vAlign w:val="center"/>
            <w:shd w:fill="F5F8FB"/>
          </w:tcPr>
          <w:p>
            <w:pPr>
              <w:spacing w:after="0"/>
            </w:pPr>
            <w:r/>
            <w:r>
              <w:rPr>
                <w:rFonts w:ascii="Aptos" w:hAnsi="Aptos"/>
                <w:b w:val="0"/>
                <w:color w:val="232323"/>
                <w:sz w:val="16"/>
              </w:rPr>
              <w:t>Impact</w:t>
            </w:r>
          </w:p>
        </w:tc>
        <w:tc>
          <w:tcPr>
            <w:tcW w:type="dxa" w:w="3168"/>
            <w:vAlign w:val="center"/>
            <w:shd w:fill="F5F8FB"/>
          </w:tcPr>
          <w:p>
            <w:pPr>
              <w:spacing w:after="0"/>
            </w:pPr>
            <w:r/>
            <w:r>
              <w:rPr>
                <w:rFonts w:ascii="Aptos" w:hAnsi="Aptos"/>
                <w:b w:val="0"/>
                <w:color w:val="232323"/>
                <w:sz w:val="16"/>
              </w:rPr>
              <w:t>User-reported usefulness</w:t>
            </w:r>
          </w:p>
        </w:tc>
        <w:tc>
          <w:tcPr>
            <w:tcW w:type="dxa" w:w="5832"/>
            <w:vAlign w:val="center"/>
            <w:shd w:fill="F5F8FB"/>
          </w:tcPr>
          <w:p>
            <w:pPr>
              <w:spacing w:after="0"/>
            </w:pPr>
            <w:r/>
            <w:r>
              <w:rPr>
                <w:rFonts w:ascii="Aptos" w:hAnsi="Aptos"/>
                <w:b w:val="0"/>
                <w:color w:val="232323"/>
                <w:sz w:val="16"/>
              </w:rPr>
              <w:t>Simple post-use survey; not clinical efficacy.</w:t>
            </w:r>
          </w:p>
        </w:tc>
      </w:tr>
      <w:tr>
        <w:tc>
          <w:tcPr>
            <w:tcW w:type="dxa" w:w="1656"/>
            <w:vAlign w:val="center"/>
          </w:tcPr>
          <w:p>
            <w:pPr>
              <w:spacing w:after="0"/>
            </w:pPr>
            <w:r/>
            <w:r>
              <w:rPr>
                <w:rFonts w:ascii="Aptos" w:hAnsi="Aptos"/>
                <w:b w:val="0"/>
                <w:color w:val="232323"/>
                <w:sz w:val="16"/>
              </w:rPr>
              <w:t>Reliability</w:t>
            </w:r>
          </w:p>
        </w:tc>
        <w:tc>
          <w:tcPr>
            <w:tcW w:type="dxa" w:w="3168"/>
            <w:vAlign w:val="center"/>
          </w:tcPr>
          <w:p>
            <w:pPr>
              <w:spacing w:after="0"/>
            </w:pPr>
            <w:r/>
            <w:r>
              <w:rPr>
                <w:rFonts w:ascii="Aptos" w:hAnsi="Aptos"/>
                <w:b w:val="0"/>
                <w:color w:val="232323"/>
                <w:sz w:val="16"/>
              </w:rPr>
              <w:t>API / deployment uptime</w:t>
            </w:r>
          </w:p>
        </w:tc>
        <w:tc>
          <w:tcPr>
            <w:tcW w:type="dxa" w:w="5832"/>
            <w:vAlign w:val="center"/>
          </w:tcPr>
          <w:p>
            <w:pPr>
              <w:spacing w:after="0"/>
            </w:pPr>
            <w:r/>
            <w:r>
              <w:rPr>
                <w:rFonts w:ascii="Aptos" w:hAnsi="Aptos"/>
                <w:b w:val="0"/>
                <w:color w:val="232323"/>
                <w:sz w:val="16"/>
              </w:rPr>
              <w:t>Measure with CloudWatch during demo window.</w:t>
            </w:r>
          </w:p>
        </w:tc>
      </w:tr>
    </w:tbl>
    <w:p/>
    <w:p>
      <w:pPr>
        <w:pStyle w:val="Heading1"/>
      </w:pPr>
      <w:r>
        <w:t>16. Risks, Limitations and Mitigations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vAlign w:val="center"/>
            <w:shd w:fill="304F73"/>
          </w:tcPr>
          <w:p>
            <w:pPr>
              <w:spacing w:after="0"/>
            </w:pPr>
            <w:r/>
            <w:r>
              <w:rPr>
                <w:rFonts w:ascii="Aptos" w:hAnsi="Aptos"/>
                <w:b/>
                <w:color w:val="FFFFFF"/>
                <w:sz w:val="16"/>
              </w:rPr>
              <w:t>Risk</w:t>
            </w:r>
          </w:p>
        </w:tc>
        <w:tc>
          <w:tcPr>
            <w:tcW w:type="dxa" w:w="3744"/>
            <w:vAlign w:val="center"/>
            <w:shd w:fill="304F73"/>
          </w:tcPr>
          <w:p>
            <w:pPr>
              <w:spacing w:after="0"/>
            </w:pPr>
            <w:r/>
            <w:r>
              <w:rPr>
                <w:rFonts w:ascii="Aptos" w:hAnsi="Aptos"/>
                <w:b/>
                <w:color w:val="FFFFFF"/>
                <w:sz w:val="16"/>
              </w:rPr>
              <w:t>Why it matters</w:t>
            </w:r>
          </w:p>
        </w:tc>
        <w:tc>
          <w:tcPr>
            <w:tcW w:type="dxa" w:w="4752"/>
            <w:vAlign w:val="center"/>
            <w:shd w:fill="304F73"/>
          </w:tcPr>
          <w:p>
            <w:pPr>
              <w:spacing w:after="0"/>
            </w:pPr>
            <w:r/>
            <w:r>
              <w:rPr>
                <w:rFonts w:ascii="Aptos" w:hAnsi="Aptos"/>
                <w:b/>
                <w:color w:val="FFFFFF"/>
                <w:sz w:val="16"/>
              </w:rPr>
              <w:t>Mitigation</w:t>
            </w:r>
          </w:p>
        </w:tc>
      </w:tr>
      <w:tr>
        <w:tc>
          <w:tcPr>
            <w:tcW w:type="dxa" w:w="2160"/>
            <w:vAlign w:val="center"/>
          </w:tcPr>
          <w:p>
            <w:pPr>
              <w:spacing w:after="0"/>
            </w:pPr>
            <w:r/>
            <w:r>
              <w:rPr>
                <w:rFonts w:ascii="Aptos" w:hAnsi="Aptos"/>
                <w:b w:val="0"/>
                <w:color w:val="232323"/>
                <w:sz w:val="16"/>
              </w:rPr>
              <w:t>AI reassurance / diagnosis</w:t>
            </w:r>
          </w:p>
        </w:tc>
        <w:tc>
          <w:tcPr>
            <w:tcW w:type="dxa" w:w="3744"/>
            <w:vAlign w:val="center"/>
          </w:tcPr>
          <w:p>
            <w:pPr>
              <w:spacing w:after="0"/>
            </w:pPr>
            <w:r/>
            <w:r>
              <w:rPr>
                <w:rFonts w:ascii="Aptos" w:hAnsi="Aptos"/>
                <w:b w:val="0"/>
                <w:color w:val="232323"/>
                <w:sz w:val="16"/>
              </w:rPr>
              <w:t>Can reinforce OCD cycles or create unsafe reliance</w:t>
            </w:r>
          </w:p>
        </w:tc>
        <w:tc>
          <w:tcPr>
            <w:tcW w:type="dxa" w:w="4752"/>
            <w:vAlign w:val="center"/>
          </w:tcPr>
          <w:p>
            <w:pPr>
              <w:spacing w:after="0"/>
            </w:pPr>
            <w:r/>
            <w:r>
              <w:rPr>
                <w:rFonts w:ascii="Aptos" w:hAnsi="Aptos"/>
                <w:b w:val="0"/>
                <w:color w:val="232323"/>
                <w:sz w:val="16"/>
              </w:rPr>
              <w:t>Narrow prompts, structured inputs, refusal/escalation rules, human review.</w:t>
            </w:r>
          </w:p>
        </w:tc>
      </w:tr>
      <w:tr>
        <w:tc>
          <w:tcPr>
            <w:tcW w:type="dxa" w:w="2160"/>
            <w:vAlign w:val="center"/>
            <w:shd w:fill="F5F8FB"/>
          </w:tcPr>
          <w:p>
            <w:pPr>
              <w:spacing w:after="0"/>
            </w:pPr>
            <w:r/>
            <w:r>
              <w:rPr>
                <w:rFonts w:ascii="Aptos" w:hAnsi="Aptos"/>
                <w:b w:val="0"/>
                <w:color w:val="232323"/>
                <w:sz w:val="16"/>
              </w:rPr>
              <w:t>False sense of safety</w:t>
            </w:r>
          </w:p>
        </w:tc>
        <w:tc>
          <w:tcPr>
            <w:tcW w:type="dxa" w:w="3744"/>
            <w:vAlign w:val="center"/>
            <w:shd w:fill="F5F8FB"/>
          </w:tcPr>
          <w:p>
            <w:pPr>
              <w:spacing w:after="0"/>
            </w:pPr>
            <w:r/>
            <w:r>
              <w:rPr>
                <w:rFonts w:ascii="Aptos" w:hAnsi="Aptos"/>
                <w:b w:val="0"/>
                <w:color w:val="232323"/>
                <w:sz w:val="16"/>
              </w:rPr>
              <w:t>User may delay needed care</w:t>
            </w:r>
          </w:p>
        </w:tc>
        <w:tc>
          <w:tcPr>
            <w:tcW w:type="dxa" w:w="4752"/>
            <w:vAlign w:val="center"/>
            <w:shd w:fill="F5F8FB"/>
          </w:tcPr>
          <w:p>
            <w:pPr>
              <w:spacing w:after="0"/>
            </w:pPr>
            <w:r/>
            <w:r>
              <w:rPr>
                <w:rFonts w:ascii="Aptos" w:hAnsi="Aptos"/>
                <w:b w:val="0"/>
                <w:color w:val="232323"/>
                <w:sz w:val="16"/>
              </w:rPr>
              <w:t>Persistent escalation education + professional pathway + clear limitations.</w:t>
            </w:r>
          </w:p>
        </w:tc>
      </w:tr>
      <w:tr>
        <w:tc>
          <w:tcPr>
            <w:tcW w:type="dxa" w:w="2160"/>
            <w:vAlign w:val="center"/>
          </w:tcPr>
          <w:p>
            <w:pPr>
              <w:spacing w:after="0"/>
            </w:pPr>
            <w:r/>
            <w:r>
              <w:rPr>
                <w:rFonts w:ascii="Aptos" w:hAnsi="Aptos"/>
                <w:b w:val="0"/>
                <w:color w:val="232323"/>
                <w:sz w:val="16"/>
              </w:rPr>
              <w:t>Unqualified practitioner</w:t>
            </w:r>
          </w:p>
        </w:tc>
        <w:tc>
          <w:tcPr>
            <w:tcW w:type="dxa" w:w="3744"/>
            <w:vAlign w:val="center"/>
          </w:tcPr>
          <w:p>
            <w:pPr>
              <w:spacing w:after="0"/>
            </w:pPr>
            <w:r/>
            <w:r>
              <w:rPr>
                <w:rFonts w:ascii="Aptos" w:hAnsi="Aptos"/>
                <w:b w:val="0"/>
                <w:color w:val="232323"/>
                <w:sz w:val="16"/>
              </w:rPr>
              <w:t>Direct safety risk</w:t>
            </w:r>
          </w:p>
        </w:tc>
        <w:tc>
          <w:tcPr>
            <w:tcW w:type="dxa" w:w="4752"/>
            <w:vAlign w:val="center"/>
          </w:tcPr>
          <w:p>
            <w:pPr>
              <w:spacing w:after="0"/>
            </w:pPr>
            <w:r/>
            <w:r>
              <w:rPr>
                <w:rFonts w:ascii="Aptos" w:hAnsi="Aptos"/>
                <w:b w:val="0"/>
                <w:color w:val="232323"/>
                <w:sz w:val="16"/>
              </w:rPr>
              <w:t>Manual credential verification; RCI/NMC-aligned role checks. [12][14]</w:t>
            </w:r>
          </w:p>
        </w:tc>
      </w:tr>
      <w:tr>
        <w:tc>
          <w:tcPr>
            <w:tcW w:type="dxa" w:w="2160"/>
            <w:vAlign w:val="center"/>
            <w:shd w:fill="F5F8FB"/>
          </w:tcPr>
          <w:p>
            <w:pPr>
              <w:spacing w:after="0"/>
            </w:pPr>
            <w:r/>
            <w:r>
              <w:rPr>
                <w:rFonts w:ascii="Aptos" w:hAnsi="Aptos"/>
                <w:b w:val="0"/>
                <w:color w:val="232323"/>
                <w:sz w:val="16"/>
              </w:rPr>
              <w:t>Sensitive data breach</w:t>
            </w:r>
          </w:p>
        </w:tc>
        <w:tc>
          <w:tcPr>
            <w:tcW w:type="dxa" w:w="3744"/>
            <w:vAlign w:val="center"/>
            <w:shd w:fill="F5F8FB"/>
          </w:tcPr>
          <w:p>
            <w:pPr>
              <w:spacing w:after="0"/>
            </w:pPr>
            <w:r/>
            <w:r>
              <w:rPr>
                <w:rFonts w:ascii="Aptos" w:hAnsi="Aptos"/>
                <w:b w:val="0"/>
                <w:color w:val="232323"/>
                <w:sz w:val="16"/>
              </w:rPr>
              <w:t>Mental-health records are high-impact privacy data</w:t>
            </w:r>
          </w:p>
        </w:tc>
        <w:tc>
          <w:tcPr>
            <w:tcW w:type="dxa" w:w="4752"/>
            <w:vAlign w:val="center"/>
            <w:shd w:fill="F5F8FB"/>
          </w:tcPr>
          <w:p>
            <w:pPr>
              <w:spacing w:after="0"/>
            </w:pPr>
            <w:r/>
            <w:r>
              <w:rPr>
                <w:rFonts w:ascii="Aptos" w:hAnsi="Aptos"/>
                <w:b w:val="0"/>
                <w:color w:val="232323"/>
                <w:sz w:val="16"/>
              </w:rPr>
              <w:t>Minimize data, encrypt, RBAC, audit logs, retention policies, secure secrets.</w:t>
            </w:r>
          </w:p>
        </w:tc>
      </w:tr>
      <w:tr>
        <w:tc>
          <w:tcPr>
            <w:tcW w:type="dxa" w:w="2160"/>
            <w:vAlign w:val="center"/>
          </w:tcPr>
          <w:p>
            <w:pPr>
              <w:spacing w:after="0"/>
            </w:pPr>
            <w:r/>
            <w:r>
              <w:rPr>
                <w:rFonts w:ascii="Aptos" w:hAnsi="Aptos"/>
                <w:b w:val="0"/>
                <w:color w:val="232323"/>
                <w:sz w:val="16"/>
              </w:rPr>
              <w:t>Sampling bias in analytics</w:t>
            </w:r>
          </w:p>
        </w:tc>
        <w:tc>
          <w:tcPr>
            <w:tcW w:type="dxa" w:w="3744"/>
            <w:vAlign w:val="center"/>
          </w:tcPr>
          <w:p>
            <w:pPr>
              <w:spacing w:after="0"/>
            </w:pPr>
            <w:r/>
            <w:r>
              <w:rPr>
                <w:rFonts w:ascii="Aptos" w:hAnsi="Aptos"/>
                <w:b w:val="0"/>
                <w:color w:val="232323"/>
                <w:sz w:val="16"/>
              </w:rPr>
              <w:t>Users are not representative of India</w:t>
            </w:r>
          </w:p>
        </w:tc>
        <w:tc>
          <w:tcPr>
            <w:tcW w:type="dxa" w:w="4752"/>
            <w:vAlign w:val="center"/>
          </w:tcPr>
          <w:p>
            <w:pPr>
              <w:spacing w:after="0"/>
            </w:pPr>
            <w:r/>
            <w:r>
              <w:rPr>
                <w:rFonts w:ascii="Aptos" w:hAnsi="Aptos"/>
                <w:b w:val="0"/>
                <w:color w:val="232323"/>
                <w:sz w:val="16"/>
              </w:rPr>
              <w:t>Report platform demand, never population prevalence without valid sampling.</w:t>
            </w:r>
          </w:p>
        </w:tc>
      </w:tr>
      <w:tr>
        <w:tc>
          <w:tcPr>
            <w:tcW w:type="dxa" w:w="2160"/>
            <w:vAlign w:val="center"/>
            <w:shd w:fill="F5F8FB"/>
          </w:tcPr>
          <w:p>
            <w:pPr>
              <w:spacing w:after="0"/>
            </w:pPr>
            <w:r/>
            <w:r>
              <w:rPr>
                <w:rFonts w:ascii="Aptos" w:hAnsi="Aptos"/>
                <w:b w:val="0"/>
                <w:color w:val="232323"/>
                <w:sz w:val="16"/>
              </w:rPr>
              <w:t>Scope creep</w:t>
            </w:r>
          </w:p>
        </w:tc>
        <w:tc>
          <w:tcPr>
            <w:tcW w:type="dxa" w:w="3744"/>
            <w:vAlign w:val="center"/>
            <w:shd w:fill="F5F8FB"/>
          </w:tcPr>
          <w:p>
            <w:pPr>
              <w:spacing w:after="0"/>
            </w:pPr>
            <w:r/>
            <w:r>
              <w:rPr>
                <w:rFonts w:ascii="Aptos" w:hAnsi="Aptos"/>
                <w:b w:val="0"/>
                <w:color w:val="232323"/>
                <w:sz w:val="16"/>
              </w:rPr>
              <w:t>Hackathon deadline risk</w:t>
            </w:r>
          </w:p>
        </w:tc>
        <w:tc>
          <w:tcPr>
            <w:tcW w:type="dxa" w:w="4752"/>
            <w:vAlign w:val="center"/>
            <w:shd w:fill="F5F8FB"/>
          </w:tcPr>
          <w:p>
            <w:pPr>
              <w:spacing w:after="0"/>
            </w:pPr>
            <w:r/>
            <w:r>
              <w:rPr>
                <w:rFonts w:ascii="Aptos" w:hAnsi="Aptos"/>
                <w:b w:val="0"/>
                <w:color w:val="232323"/>
                <w:sz w:val="16"/>
              </w:rPr>
              <w:t>OCD wedge + one complete workflow; defer marketplace/community/video.</w:t>
            </w:r>
          </w:p>
        </w:tc>
      </w:tr>
      <w:tr>
        <w:tc>
          <w:tcPr>
            <w:tcW w:type="dxa" w:w="2160"/>
            <w:vAlign w:val="center"/>
          </w:tcPr>
          <w:p>
            <w:pPr>
              <w:spacing w:after="0"/>
            </w:pPr>
            <w:r/>
            <w:r>
              <w:rPr>
                <w:rFonts w:ascii="Aptos" w:hAnsi="Aptos"/>
                <w:b w:val="0"/>
                <w:color w:val="232323"/>
                <w:sz w:val="16"/>
              </w:rPr>
              <w:t>Clinical content quality</w:t>
            </w:r>
          </w:p>
        </w:tc>
        <w:tc>
          <w:tcPr>
            <w:tcW w:type="dxa" w:w="3744"/>
            <w:vAlign w:val="center"/>
          </w:tcPr>
          <w:p>
            <w:pPr>
              <w:spacing w:after="0"/>
            </w:pPr>
            <w:r/>
            <w:r>
              <w:rPr>
                <w:rFonts w:ascii="Aptos" w:hAnsi="Aptos"/>
                <w:b w:val="0"/>
                <w:color w:val="232323"/>
                <w:sz w:val="16"/>
              </w:rPr>
              <w:t>Incorrect advice can harm</w:t>
            </w:r>
          </w:p>
        </w:tc>
        <w:tc>
          <w:tcPr>
            <w:tcW w:type="dxa" w:w="4752"/>
            <w:vAlign w:val="center"/>
          </w:tcPr>
          <w:p>
            <w:pPr>
              <w:spacing w:after="0"/>
            </w:pPr>
            <w:r/>
            <w:r>
              <w:rPr>
                <w:rFonts w:ascii="Aptos" w:hAnsi="Aptos"/>
                <w:b w:val="0"/>
                <w:color w:val="232323"/>
                <w:sz w:val="16"/>
              </w:rPr>
              <w:t>Clinical content review by qualified professionals before public deployment.</w:t>
            </w:r>
          </w:p>
        </w:tc>
      </w:tr>
      <w:tr>
        <w:tc>
          <w:tcPr>
            <w:tcW w:type="dxa" w:w="2160"/>
            <w:vAlign w:val="center"/>
            <w:shd w:fill="F5F8FB"/>
          </w:tcPr>
          <w:p>
            <w:pPr>
              <w:spacing w:after="0"/>
            </w:pPr>
            <w:r/>
            <w:r>
              <w:rPr>
                <w:rFonts w:ascii="Aptos" w:hAnsi="Aptos"/>
                <w:b w:val="0"/>
                <w:color w:val="232323"/>
                <w:sz w:val="16"/>
              </w:rPr>
              <w:t>Regulatory uncertainty</w:t>
            </w:r>
          </w:p>
        </w:tc>
        <w:tc>
          <w:tcPr>
            <w:tcW w:type="dxa" w:w="3744"/>
            <w:vAlign w:val="center"/>
            <w:shd w:fill="F5F8FB"/>
          </w:tcPr>
          <w:p>
            <w:pPr>
              <w:spacing w:after="0"/>
            </w:pPr>
            <w:r/>
            <w:r>
              <w:rPr>
                <w:rFonts w:ascii="Aptos" w:hAnsi="Aptos"/>
                <w:b w:val="0"/>
                <w:color w:val="232323"/>
                <w:sz w:val="16"/>
              </w:rPr>
              <w:t>Health-tech obligations vary by service model</w:t>
            </w:r>
          </w:p>
        </w:tc>
        <w:tc>
          <w:tcPr>
            <w:tcW w:type="dxa" w:w="4752"/>
            <w:vAlign w:val="center"/>
            <w:shd w:fill="F5F8FB"/>
          </w:tcPr>
          <w:p>
            <w:pPr>
              <w:spacing w:after="0"/>
            </w:pPr>
            <w:r/>
            <w:r>
              <w:rPr>
                <w:rFonts w:ascii="Aptos" w:hAnsi="Aptos"/>
                <w:b w:val="0"/>
                <w:color w:val="232323"/>
                <w:sz w:val="16"/>
              </w:rPr>
              <w:t>Treat MVP as a support/continuity prototype; legal review before real clinical service commercialization.</w:t>
            </w:r>
          </w:p>
        </w:tc>
      </w:tr>
    </w:tbl>
    <w:p/>
    <w:p>
      <w:pPr>
        <w:pStyle w:val="Heading1"/>
      </w:pPr>
      <w:r>
        <w:t>17. Roadmap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72"/>
            <w:vAlign w:val="center"/>
            <w:shd w:fill="304F73"/>
          </w:tcPr>
          <w:p>
            <w:pPr>
              <w:spacing w:after="0"/>
            </w:pPr>
            <w:r/>
            <w:r>
              <w:rPr>
                <w:rFonts w:ascii="Aptos" w:hAnsi="Aptos"/>
                <w:b/>
                <w:color w:val="FFFFFF"/>
                <w:sz w:val="16"/>
              </w:rPr>
              <w:t>Phase</w:t>
            </w:r>
          </w:p>
        </w:tc>
        <w:tc>
          <w:tcPr>
            <w:tcW w:type="dxa" w:w="4824"/>
            <w:vAlign w:val="center"/>
            <w:shd w:fill="304F73"/>
          </w:tcPr>
          <w:p>
            <w:pPr>
              <w:spacing w:after="0"/>
            </w:pPr>
            <w:r/>
            <w:r>
              <w:rPr>
                <w:rFonts w:ascii="Aptos" w:hAnsi="Aptos"/>
                <w:b/>
                <w:color w:val="FFFFFF"/>
                <w:sz w:val="16"/>
              </w:rPr>
              <w:t>Product</w:t>
            </w:r>
          </w:p>
        </w:tc>
        <w:tc>
          <w:tcPr>
            <w:tcW w:type="dxa" w:w="3960"/>
            <w:vAlign w:val="center"/>
            <w:shd w:fill="304F73"/>
          </w:tcPr>
          <w:p>
            <w:pPr>
              <w:spacing w:after="0"/>
            </w:pPr>
            <w:r/>
            <w:r>
              <w:rPr>
                <w:rFonts w:ascii="Aptos" w:hAnsi="Aptos"/>
                <w:b/>
                <w:color w:val="FFFFFF"/>
                <w:sz w:val="16"/>
              </w:rPr>
              <w:t>Technical</w:t>
            </w:r>
          </w:p>
        </w:tc>
      </w:tr>
      <w:tr>
        <w:tc>
          <w:tcPr>
            <w:tcW w:type="dxa" w:w="1872"/>
            <w:vAlign w:val="center"/>
          </w:tcPr>
          <w:p>
            <w:pPr>
              <w:spacing w:after="0"/>
            </w:pPr>
            <w:r/>
            <w:r>
              <w:rPr>
                <w:rFonts w:ascii="Aptos" w:hAnsi="Aptos"/>
                <w:b w:val="0"/>
                <w:color w:val="232323"/>
                <w:sz w:val="16"/>
              </w:rPr>
              <w:t>Hackathon MVP</w:t>
            </w:r>
          </w:p>
        </w:tc>
        <w:tc>
          <w:tcPr>
            <w:tcW w:type="dxa" w:w="4824"/>
            <w:vAlign w:val="center"/>
          </w:tcPr>
          <w:p>
            <w:pPr>
              <w:spacing w:after="0"/>
            </w:pPr>
            <w:r/>
            <w:r>
              <w:rPr>
                <w:rFonts w:ascii="Aptos" w:hAnsi="Aptos"/>
                <w:b w:val="0"/>
                <w:color w:val="232323"/>
                <w:sz w:val="16"/>
              </w:rPr>
              <w:t>OCD education, tracking, AI summary, practitioner connection</w:t>
            </w:r>
          </w:p>
        </w:tc>
        <w:tc>
          <w:tcPr>
            <w:tcW w:type="dxa" w:w="3960"/>
            <w:vAlign w:val="center"/>
          </w:tcPr>
          <w:p>
            <w:pPr>
              <w:spacing w:after="0"/>
            </w:pPr>
            <w:r/>
            <w:r>
              <w:rPr>
                <w:rFonts w:ascii="Aptos" w:hAnsi="Aptos"/>
                <w:b w:val="0"/>
                <w:color w:val="232323"/>
                <w:sz w:val="16"/>
              </w:rPr>
              <w:t>Cognito, Amplify, API Gateway, Lambda, DynamoDB, Bedrock</w:t>
            </w:r>
          </w:p>
        </w:tc>
      </w:tr>
      <w:tr>
        <w:tc>
          <w:tcPr>
            <w:tcW w:type="dxa" w:w="1872"/>
            <w:vAlign w:val="center"/>
            <w:shd w:fill="F5F8FB"/>
          </w:tcPr>
          <w:p>
            <w:pPr>
              <w:spacing w:after="0"/>
            </w:pPr>
            <w:r/>
            <w:r>
              <w:rPr>
                <w:rFonts w:ascii="Aptos" w:hAnsi="Aptos"/>
                <w:b w:val="0"/>
                <w:color w:val="232323"/>
                <w:sz w:val="16"/>
              </w:rPr>
              <w:t>Pilot</w:t>
            </w:r>
          </w:p>
        </w:tc>
        <w:tc>
          <w:tcPr>
            <w:tcW w:type="dxa" w:w="4824"/>
            <w:vAlign w:val="center"/>
            <w:shd w:fill="F5F8FB"/>
          </w:tcPr>
          <w:p>
            <w:pPr>
              <w:spacing w:after="0"/>
            </w:pPr>
            <w:r/>
            <w:r>
              <w:rPr>
                <w:rFonts w:ascii="Aptos" w:hAnsi="Aptos"/>
                <w:b w:val="0"/>
                <w:color w:val="232323"/>
                <w:sz w:val="16"/>
              </w:rPr>
              <w:t>Clinically reviewed content, better consent, practitioner verification</w:t>
            </w:r>
          </w:p>
        </w:tc>
        <w:tc>
          <w:tcPr>
            <w:tcW w:type="dxa" w:w="3960"/>
            <w:vAlign w:val="center"/>
            <w:shd w:fill="F5F8FB"/>
          </w:tcPr>
          <w:p>
            <w:pPr>
              <w:spacing w:after="0"/>
            </w:pPr>
            <w:r/>
            <w:r>
              <w:rPr>
                <w:rFonts w:ascii="Aptos" w:hAnsi="Aptos"/>
                <w:b w:val="0"/>
                <w:color w:val="232323"/>
                <w:sz w:val="16"/>
              </w:rPr>
              <w:t>Audit trails, encryption hardening, observability, backups</w:t>
            </w:r>
          </w:p>
        </w:tc>
      </w:tr>
      <w:tr>
        <w:tc>
          <w:tcPr>
            <w:tcW w:type="dxa" w:w="1872"/>
            <w:vAlign w:val="center"/>
          </w:tcPr>
          <w:p>
            <w:pPr>
              <w:spacing w:after="0"/>
            </w:pPr>
            <w:r/>
            <w:r>
              <w:rPr>
                <w:rFonts w:ascii="Aptos" w:hAnsi="Aptos"/>
                <w:b w:val="0"/>
                <w:color w:val="232323"/>
                <w:sz w:val="16"/>
              </w:rPr>
              <w:t>Phase 2</w:t>
            </w:r>
          </w:p>
        </w:tc>
        <w:tc>
          <w:tcPr>
            <w:tcW w:type="dxa" w:w="4824"/>
            <w:vAlign w:val="center"/>
          </w:tcPr>
          <w:p>
            <w:pPr>
              <w:spacing w:after="0"/>
            </w:pPr>
            <w:r/>
            <w:r>
              <w:rPr>
                <w:rFonts w:ascii="Aptos" w:hAnsi="Aptos"/>
                <w:b w:val="0"/>
                <w:color w:val="232323"/>
                <w:sz w:val="16"/>
              </w:rPr>
              <w:t>Appointment/referral workflow, richer practitioner tools, localization</w:t>
            </w:r>
          </w:p>
        </w:tc>
        <w:tc>
          <w:tcPr>
            <w:tcW w:type="dxa" w:w="3960"/>
            <w:vAlign w:val="center"/>
          </w:tcPr>
          <w:p>
            <w:pPr>
              <w:spacing w:after="0"/>
            </w:pPr>
            <w:r/>
            <w:r>
              <w:rPr>
                <w:rFonts w:ascii="Aptos" w:hAnsi="Aptos"/>
                <w:b w:val="0"/>
                <w:color w:val="232323"/>
                <w:sz w:val="16"/>
              </w:rPr>
              <w:t>Step Functions, EventBridge, fine-grained authorization</w:t>
            </w:r>
          </w:p>
        </w:tc>
      </w:tr>
      <w:tr>
        <w:tc>
          <w:tcPr>
            <w:tcW w:type="dxa" w:w="1872"/>
            <w:vAlign w:val="center"/>
            <w:shd w:fill="F5F8FB"/>
          </w:tcPr>
          <w:p>
            <w:pPr>
              <w:spacing w:after="0"/>
            </w:pPr>
            <w:r/>
            <w:r>
              <w:rPr>
                <w:rFonts w:ascii="Aptos" w:hAnsi="Aptos"/>
                <w:b w:val="0"/>
                <w:color w:val="232323"/>
                <w:sz w:val="16"/>
              </w:rPr>
              <w:t>Phase 3</w:t>
            </w:r>
          </w:p>
        </w:tc>
        <w:tc>
          <w:tcPr>
            <w:tcW w:type="dxa" w:w="4824"/>
            <w:vAlign w:val="center"/>
            <w:shd w:fill="F5F8FB"/>
          </w:tcPr>
          <w:p>
            <w:pPr>
              <w:spacing w:after="0"/>
            </w:pPr>
            <w:r/>
            <w:r>
              <w:rPr>
                <w:rFonts w:ascii="Aptos" w:hAnsi="Aptos"/>
                <w:b w:val="0"/>
                <w:color w:val="232323"/>
                <w:sz w:val="16"/>
              </w:rPr>
              <w:t>Institution programs, broader anxiety/mental-wellbeing modules</w:t>
            </w:r>
          </w:p>
        </w:tc>
        <w:tc>
          <w:tcPr>
            <w:tcW w:type="dxa" w:w="3960"/>
            <w:vAlign w:val="center"/>
            <w:shd w:fill="F5F8FB"/>
          </w:tcPr>
          <w:p>
            <w:pPr>
              <w:spacing w:after="0"/>
            </w:pPr>
            <w:r/>
            <w:r>
              <w:rPr>
                <w:rFonts w:ascii="Aptos" w:hAnsi="Aptos"/>
                <w:b w:val="0"/>
                <w:color w:val="232323"/>
                <w:sz w:val="16"/>
              </w:rPr>
              <w:t>Multi-tenant architecture, analytics governance</w:t>
            </w:r>
          </w:p>
        </w:tc>
      </w:tr>
      <w:tr>
        <w:tc>
          <w:tcPr>
            <w:tcW w:type="dxa" w:w="1872"/>
            <w:vAlign w:val="center"/>
          </w:tcPr>
          <w:p>
            <w:pPr>
              <w:spacing w:after="0"/>
            </w:pPr>
            <w:r/>
            <w:r>
              <w:rPr>
                <w:rFonts w:ascii="Aptos" w:hAnsi="Aptos"/>
                <w:b w:val="0"/>
                <w:color w:val="232323"/>
                <w:sz w:val="16"/>
              </w:rPr>
              <w:t>Phase 4</w:t>
            </w:r>
          </w:p>
        </w:tc>
        <w:tc>
          <w:tcPr>
            <w:tcW w:type="dxa" w:w="4824"/>
            <w:vAlign w:val="center"/>
          </w:tcPr>
          <w:p>
            <w:pPr>
              <w:spacing w:after="0"/>
            </w:pPr>
            <w:r/>
            <w:r>
              <w:rPr>
                <w:rFonts w:ascii="Aptos" w:hAnsi="Aptos"/>
                <w:b w:val="0"/>
                <w:color w:val="232323"/>
                <w:sz w:val="16"/>
              </w:rPr>
              <w:t>Aggregated public-health / research signals</w:t>
            </w:r>
          </w:p>
        </w:tc>
        <w:tc>
          <w:tcPr>
            <w:tcW w:type="dxa" w:w="3960"/>
            <w:vAlign w:val="center"/>
          </w:tcPr>
          <w:p>
            <w:pPr>
              <w:spacing w:after="0"/>
            </w:pPr>
            <w:r/>
            <w:r>
              <w:rPr>
                <w:rFonts w:ascii="Aptos" w:hAnsi="Aptos"/>
                <w:b w:val="0"/>
                <w:color w:val="232323"/>
                <w:sz w:val="16"/>
              </w:rPr>
              <w:t>De-identification, governance, research/ethics workflows</w:t>
            </w:r>
          </w:p>
        </w:tc>
      </w:tr>
    </w:tbl>
    <w:p/>
    <w:p>
      <w:pPr>
        <w:pStyle w:val="Heading1"/>
      </w:pPr>
      <w:r>
        <w:t>18. Long-Term Business and Social Goals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304F73"/>
          </w:tcPr>
          <w:p>
            <w:pPr>
              <w:spacing w:after="0"/>
            </w:pPr>
            <w:r/>
            <w:r>
              <w:rPr>
                <w:rFonts w:ascii="Aptos" w:hAnsi="Aptos"/>
                <w:b/>
                <w:color w:val="FFFFFF"/>
                <w:sz w:val="16"/>
              </w:rPr>
              <w:t>Strategic goal</w:t>
            </w:r>
          </w:p>
        </w:tc>
        <w:tc>
          <w:tcPr>
            <w:tcW w:type="dxa" w:w="7776"/>
            <w:vAlign w:val="center"/>
            <w:shd w:fill="304F73"/>
          </w:tcPr>
          <w:p>
            <w:pPr>
              <w:spacing w:after="0"/>
            </w:pPr>
            <w:r/>
            <w:r>
              <w:rPr>
                <w:rFonts w:ascii="Aptos" w:hAnsi="Aptos"/>
                <w:b/>
                <w:color w:val="FFFFFF"/>
                <w:sz w:val="16"/>
              </w:rPr>
              <w:t>Definition</w:t>
            </w:r>
          </w:p>
        </w:tc>
      </w:tr>
      <w:tr>
        <w:tc>
          <w:tcPr>
            <w:tcW w:type="dxa" w:w="2880"/>
            <w:vAlign w:val="center"/>
          </w:tcPr>
          <w:p>
            <w:pPr>
              <w:spacing w:after="0"/>
            </w:pPr>
            <w:r/>
            <w:r>
              <w:rPr>
                <w:rFonts w:ascii="Aptos" w:hAnsi="Aptos"/>
                <w:b w:val="0"/>
                <w:color w:val="232323"/>
                <w:sz w:val="16"/>
              </w:rPr>
              <w:t>Goal 1 - Access</w:t>
            </w:r>
          </w:p>
        </w:tc>
        <w:tc>
          <w:tcPr>
            <w:tcW w:type="dxa" w:w="7776"/>
            <w:vAlign w:val="center"/>
          </w:tcPr>
          <w:p>
            <w:pPr>
              <w:spacing w:after="0"/>
            </w:pPr>
            <w:r/>
            <w:r>
              <w:rPr>
                <w:rFonts w:ascii="Aptos" w:hAnsi="Aptos"/>
                <w:b w:val="0"/>
                <w:color w:val="232323"/>
                <w:sz w:val="16"/>
              </w:rPr>
              <w:t>Make the first step toward appropriate support easier and less intimidating.</w:t>
            </w:r>
          </w:p>
        </w:tc>
      </w:tr>
      <w:tr>
        <w:tc>
          <w:tcPr>
            <w:tcW w:type="dxa" w:w="2880"/>
            <w:vAlign w:val="center"/>
            <w:shd w:fill="F5F8FB"/>
          </w:tcPr>
          <w:p>
            <w:pPr>
              <w:spacing w:after="0"/>
            </w:pPr>
            <w:r/>
            <w:r>
              <w:rPr>
                <w:rFonts w:ascii="Aptos" w:hAnsi="Aptos"/>
                <w:b w:val="0"/>
                <w:color w:val="232323"/>
                <w:sz w:val="16"/>
              </w:rPr>
              <w:t>Goal 2 - Continuity</w:t>
            </w:r>
          </w:p>
        </w:tc>
        <w:tc>
          <w:tcPr>
            <w:tcW w:type="dxa" w:w="7776"/>
            <w:vAlign w:val="center"/>
            <w:shd w:fill="F5F8FB"/>
          </w:tcPr>
          <w:p>
            <w:pPr>
              <w:spacing w:after="0"/>
            </w:pPr>
            <w:r/>
            <w:r>
              <w:rPr>
                <w:rFonts w:ascii="Aptos" w:hAnsi="Aptos"/>
                <w:b w:val="0"/>
                <w:color w:val="232323"/>
                <w:sz w:val="16"/>
              </w:rPr>
              <w:t>Reduce information loss between appointments through structured, consented longitudinal records.</w:t>
            </w:r>
          </w:p>
        </w:tc>
      </w:tr>
      <w:tr>
        <w:tc>
          <w:tcPr>
            <w:tcW w:type="dxa" w:w="2880"/>
            <w:vAlign w:val="center"/>
          </w:tcPr>
          <w:p>
            <w:pPr>
              <w:spacing w:after="0"/>
            </w:pPr>
            <w:r/>
            <w:r>
              <w:rPr>
                <w:rFonts w:ascii="Aptos" w:hAnsi="Aptos"/>
                <w:b w:val="0"/>
                <w:color w:val="232323"/>
                <w:sz w:val="16"/>
              </w:rPr>
              <w:t>Goal 3 - Trust</w:t>
            </w:r>
          </w:p>
        </w:tc>
        <w:tc>
          <w:tcPr>
            <w:tcW w:type="dxa" w:w="7776"/>
            <w:vAlign w:val="center"/>
          </w:tcPr>
          <w:p>
            <w:pPr>
              <w:spacing w:after="0"/>
            </w:pPr>
            <w:r/>
            <w:r>
              <w:rPr>
                <w:rFonts w:ascii="Aptos" w:hAnsi="Aptos"/>
                <w:b w:val="0"/>
                <w:color w:val="232323"/>
                <w:sz w:val="16"/>
              </w:rPr>
              <w:t>Build verified professional identity and privacy into the product rather than adding them later.</w:t>
            </w:r>
          </w:p>
        </w:tc>
      </w:tr>
      <w:tr>
        <w:tc>
          <w:tcPr>
            <w:tcW w:type="dxa" w:w="2880"/>
            <w:vAlign w:val="center"/>
            <w:shd w:fill="F5F8FB"/>
          </w:tcPr>
          <w:p>
            <w:pPr>
              <w:spacing w:after="0"/>
            </w:pPr>
            <w:r/>
            <w:r>
              <w:rPr>
                <w:rFonts w:ascii="Aptos" w:hAnsi="Aptos"/>
                <w:b w:val="0"/>
                <w:color w:val="232323"/>
                <w:sz w:val="16"/>
              </w:rPr>
              <w:t>Goal 4 - Responsible AI</w:t>
            </w:r>
          </w:p>
        </w:tc>
        <w:tc>
          <w:tcPr>
            <w:tcW w:type="dxa" w:w="7776"/>
            <w:vAlign w:val="center"/>
            <w:shd w:fill="F5F8FB"/>
          </w:tcPr>
          <w:p>
            <w:pPr>
              <w:spacing w:after="0"/>
            </w:pPr>
            <w:r/>
            <w:r>
              <w:rPr>
                <w:rFonts w:ascii="Aptos" w:hAnsi="Aptos"/>
                <w:b w:val="0"/>
                <w:color w:val="232323"/>
                <w:sz w:val="16"/>
              </w:rPr>
              <w:t>Demonstrate that AI can assist mental-health workflows without pretending to be a clinician.</w:t>
            </w:r>
          </w:p>
        </w:tc>
      </w:tr>
      <w:tr>
        <w:tc>
          <w:tcPr>
            <w:tcW w:type="dxa" w:w="2880"/>
            <w:vAlign w:val="center"/>
          </w:tcPr>
          <w:p>
            <w:pPr>
              <w:spacing w:after="0"/>
            </w:pPr>
            <w:r/>
            <w:r>
              <w:rPr>
                <w:rFonts w:ascii="Aptos" w:hAnsi="Aptos"/>
                <w:b w:val="0"/>
                <w:color w:val="232323"/>
                <w:sz w:val="16"/>
              </w:rPr>
              <w:t>Goal 5 - Rural/underserved reach</w:t>
            </w:r>
          </w:p>
        </w:tc>
        <w:tc>
          <w:tcPr>
            <w:tcW w:type="dxa" w:w="7776"/>
            <w:vAlign w:val="center"/>
          </w:tcPr>
          <w:p>
            <w:pPr>
              <w:spacing w:after="0"/>
            </w:pPr>
            <w:r/>
            <w:r>
              <w:rPr>
                <w:rFonts w:ascii="Aptos" w:hAnsi="Aptos"/>
                <w:b w:val="0"/>
                <w:color w:val="232323"/>
                <w:sz w:val="16"/>
              </w:rPr>
              <w:t>Support remote users through tele-support and referral pathways while acknowledging local service gaps and language needs.</w:t>
            </w:r>
          </w:p>
        </w:tc>
      </w:tr>
      <w:tr>
        <w:tc>
          <w:tcPr>
            <w:tcW w:type="dxa" w:w="2880"/>
            <w:vAlign w:val="center"/>
            <w:shd w:fill="F5F8FB"/>
          </w:tcPr>
          <w:p>
            <w:pPr>
              <w:spacing w:after="0"/>
            </w:pPr>
            <w:r/>
            <w:r>
              <w:rPr>
                <w:rFonts w:ascii="Aptos" w:hAnsi="Aptos"/>
                <w:b w:val="0"/>
                <w:color w:val="232323"/>
                <w:sz w:val="16"/>
              </w:rPr>
              <w:t>Goal 6 - Institutional wellbeing</w:t>
            </w:r>
          </w:p>
        </w:tc>
        <w:tc>
          <w:tcPr>
            <w:tcW w:type="dxa" w:w="7776"/>
            <w:vAlign w:val="center"/>
            <w:shd w:fill="F5F8FB"/>
          </w:tcPr>
          <w:p>
            <w:pPr>
              <w:spacing w:after="0"/>
            </w:pPr>
            <w:r/>
            <w:r>
              <w:rPr>
                <w:rFonts w:ascii="Aptos" w:hAnsi="Aptos"/>
                <w:b w:val="0"/>
                <w:color w:val="232323"/>
                <w:sz w:val="16"/>
              </w:rPr>
              <w:t>Enable colleges/organizations to sponsor support without receiving identifiable personal records.</w:t>
            </w:r>
          </w:p>
        </w:tc>
      </w:tr>
      <w:tr>
        <w:tc>
          <w:tcPr>
            <w:tcW w:type="dxa" w:w="2880"/>
            <w:vAlign w:val="center"/>
          </w:tcPr>
          <w:p>
            <w:pPr>
              <w:spacing w:after="0"/>
            </w:pPr>
            <w:r/>
            <w:r>
              <w:rPr>
                <w:rFonts w:ascii="Aptos" w:hAnsi="Aptos"/>
                <w:b w:val="0"/>
                <w:color w:val="232323"/>
                <w:sz w:val="16"/>
              </w:rPr>
              <w:t>Goal 7 - Public-health learning</w:t>
            </w:r>
          </w:p>
        </w:tc>
        <w:tc>
          <w:tcPr>
            <w:tcW w:type="dxa" w:w="7776"/>
            <w:vAlign w:val="center"/>
          </w:tcPr>
          <w:p>
            <w:pPr>
              <w:spacing w:after="0"/>
            </w:pPr>
            <w:r/>
            <w:r>
              <w:rPr>
                <w:rFonts w:ascii="Aptos" w:hAnsi="Aptos"/>
                <w:b w:val="0"/>
                <w:color w:val="232323"/>
                <w:sz w:val="16"/>
              </w:rPr>
              <w:t>Generate carefully governed aggregated demand/service-gap signals that may support planning and research.</w:t>
            </w:r>
          </w:p>
        </w:tc>
      </w:tr>
      <w:tr>
        <w:tc>
          <w:tcPr>
            <w:tcW w:type="dxa" w:w="2880"/>
            <w:vAlign w:val="center"/>
            <w:shd w:fill="F5F8FB"/>
          </w:tcPr>
          <w:p>
            <w:pPr>
              <w:spacing w:after="0"/>
            </w:pPr>
            <w:r/>
            <w:r>
              <w:rPr>
                <w:rFonts w:ascii="Aptos" w:hAnsi="Aptos"/>
                <w:b w:val="0"/>
                <w:color w:val="232323"/>
                <w:sz w:val="16"/>
              </w:rPr>
              <w:t>Goal 8 - Sustainable business</w:t>
            </w:r>
          </w:p>
        </w:tc>
        <w:tc>
          <w:tcPr>
            <w:tcW w:type="dxa" w:w="7776"/>
            <w:vAlign w:val="center"/>
            <w:shd w:fill="F5F8FB"/>
          </w:tcPr>
          <w:p>
            <w:pPr>
              <w:spacing w:after="0"/>
            </w:pPr>
            <w:r/>
            <w:r>
              <w:rPr>
                <w:rFonts w:ascii="Aptos" w:hAnsi="Aptos"/>
                <w:b w:val="0"/>
                <w:color w:val="232323"/>
                <w:sz w:val="16"/>
              </w:rPr>
              <w:t>Monetize professional and institutional infrastructure, not personal distress or sensitive profiles.</w:t>
            </w:r>
          </w:p>
        </w:tc>
      </w:tr>
    </w:tbl>
    <w:p/>
    <w:p>
      <w:pPr>
        <w:pStyle w:val="Heading1"/>
      </w:pPr>
      <w:r>
        <w:t>19. One-Line and Pitch Versions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88"/>
            <w:vAlign w:val="center"/>
            <w:shd w:fill="304F73"/>
          </w:tcPr>
          <w:p>
            <w:pPr>
              <w:spacing w:after="0"/>
            </w:pPr>
            <w:r/>
            <w:r>
              <w:rPr>
                <w:rFonts w:ascii="Aptos" w:hAnsi="Aptos"/>
                <w:b/>
                <w:color w:val="FFFFFF"/>
                <w:sz w:val="16"/>
              </w:rPr>
              <w:t>Use</w:t>
            </w:r>
          </w:p>
        </w:tc>
        <w:tc>
          <w:tcPr>
            <w:tcW w:type="dxa" w:w="8568"/>
            <w:vAlign w:val="center"/>
            <w:shd w:fill="304F73"/>
          </w:tcPr>
          <w:p>
            <w:pPr>
              <w:spacing w:after="0"/>
            </w:pPr>
            <w:r/>
            <w:r>
              <w:rPr>
                <w:rFonts w:ascii="Aptos" w:hAnsi="Aptos"/>
                <w:b/>
                <w:color w:val="FFFFFF"/>
                <w:sz w:val="16"/>
              </w:rPr>
              <w:t>Recommended wording</w:t>
            </w:r>
          </w:p>
        </w:tc>
      </w:tr>
      <w:tr>
        <w:tc>
          <w:tcPr>
            <w:tcW w:type="dxa" w:w="2088"/>
            <w:vAlign w:val="center"/>
          </w:tcPr>
          <w:p>
            <w:pPr>
              <w:spacing w:after="0"/>
            </w:pPr>
            <w:r/>
            <w:r>
              <w:rPr>
                <w:rFonts w:ascii="Aptos" w:hAnsi="Aptos"/>
                <w:b w:val="0"/>
                <w:color w:val="232323"/>
                <w:sz w:val="16"/>
              </w:rPr>
              <w:t>One-liner</w:t>
            </w:r>
          </w:p>
        </w:tc>
        <w:tc>
          <w:tcPr>
            <w:tcW w:type="dxa" w:w="8568"/>
            <w:vAlign w:val="center"/>
          </w:tcPr>
          <w:p>
            <w:pPr>
              <w:spacing w:after="0"/>
            </w:pPr>
            <w:r/>
            <w:r>
              <w:rPr>
                <w:rFonts w:ascii="Aptos" w:hAnsi="Aptos"/>
                <w:b w:val="0"/>
                <w:color w:val="232323"/>
                <w:sz w:val="16"/>
              </w:rPr>
              <w:t>Between Sessions helps people manage OCD-related difficulties between professional interactions through structured self-management, behavioral tracking and a verified human-care pathway.</w:t>
            </w:r>
          </w:p>
        </w:tc>
      </w:tr>
      <w:tr>
        <w:tc>
          <w:tcPr>
            <w:tcW w:type="dxa" w:w="2088"/>
            <w:vAlign w:val="center"/>
            <w:shd w:fill="F5F8FB"/>
          </w:tcPr>
          <w:p>
            <w:pPr>
              <w:spacing w:after="0"/>
            </w:pPr>
            <w:r/>
            <w:r>
              <w:rPr>
                <w:rFonts w:ascii="Aptos" w:hAnsi="Aptos"/>
                <w:b w:val="0"/>
                <w:color w:val="232323"/>
                <w:sz w:val="16"/>
              </w:rPr>
              <w:t>30-second pitch</w:t>
            </w:r>
          </w:p>
        </w:tc>
        <w:tc>
          <w:tcPr>
            <w:tcW w:type="dxa" w:w="8568"/>
            <w:vAlign w:val="center"/>
            <w:shd w:fill="F5F8FB"/>
          </w:tcPr>
          <w:p>
            <w:pPr>
              <w:spacing w:after="0"/>
            </w:pPr>
            <w:r/>
            <w:r>
              <w:rPr>
                <w:rFonts w:ascii="Aptos" w:hAnsi="Aptos"/>
                <w:b w:val="0"/>
                <w:color w:val="232323"/>
                <w:sz w:val="16"/>
              </w:rPr>
              <w:t>Many people face a gap between realizing they need help and getting or continuing appropriate care. Between Sessions is an OCD-focused digital care-continuity layer: users learn evidence-informed concepts, track behaviors and practice, receive AI-generated summaries grounded in their own data, and can share selected information with a verified professional who can guide the next step or referral.</w:t>
            </w:r>
          </w:p>
        </w:tc>
      </w:tr>
      <w:tr>
        <w:tc>
          <w:tcPr>
            <w:tcW w:type="dxa" w:w="2088"/>
            <w:vAlign w:val="center"/>
          </w:tcPr>
          <w:p>
            <w:pPr>
              <w:spacing w:after="0"/>
            </w:pPr>
            <w:r/>
            <w:r>
              <w:rPr>
                <w:rFonts w:ascii="Aptos" w:hAnsi="Aptos"/>
                <w:b w:val="0"/>
                <w:color w:val="232323"/>
                <w:sz w:val="16"/>
              </w:rPr>
              <w:t>USP line</w:t>
            </w:r>
          </w:p>
        </w:tc>
        <w:tc>
          <w:tcPr>
            <w:tcW w:type="dxa" w:w="8568"/>
            <w:vAlign w:val="center"/>
          </w:tcPr>
          <w:p>
            <w:pPr>
              <w:spacing w:after="0"/>
            </w:pPr>
            <w:r/>
            <w:r>
              <w:rPr>
                <w:rFonts w:ascii="Aptos" w:hAnsi="Aptos"/>
                <w:b w:val="0"/>
                <w:color w:val="232323"/>
                <w:sz w:val="16"/>
              </w:rPr>
              <w:t>AI for organization and insight; humans for clinical judgment.</w:t>
            </w:r>
          </w:p>
        </w:tc>
      </w:tr>
      <w:tr>
        <w:tc>
          <w:tcPr>
            <w:tcW w:type="dxa" w:w="2088"/>
            <w:vAlign w:val="center"/>
            <w:shd w:fill="F5F8FB"/>
          </w:tcPr>
          <w:p>
            <w:pPr>
              <w:spacing w:after="0"/>
            </w:pPr>
            <w:r/>
            <w:r>
              <w:rPr>
                <w:rFonts w:ascii="Aptos" w:hAnsi="Aptos"/>
                <w:b w:val="0"/>
                <w:color w:val="232323"/>
                <w:sz w:val="16"/>
              </w:rPr>
              <w:t>Vision line</w:t>
            </w:r>
          </w:p>
        </w:tc>
        <w:tc>
          <w:tcPr>
            <w:tcW w:type="dxa" w:w="8568"/>
            <w:vAlign w:val="center"/>
            <w:shd w:fill="F5F8FB"/>
          </w:tcPr>
          <w:p>
            <w:pPr>
              <w:spacing w:after="0"/>
            </w:pPr>
            <w:r/>
            <w:r>
              <w:rPr>
                <w:rFonts w:ascii="Aptos" w:hAnsi="Aptos"/>
                <w:b w:val="0"/>
                <w:color w:val="232323"/>
                <w:sz w:val="16"/>
              </w:rPr>
              <w:t>From a private self-management companion today to a consent-driven mental-health continuity network tomorrow.</w:t>
            </w:r>
          </w:p>
        </w:tc>
      </w:tr>
    </w:tbl>
    <w:p/>
    <w:p>
      <w:r>
        <w:br w:type="page"/>
      </w:r>
    </w:p>
    <w:p>
      <w:pPr>
        <w:pStyle w:val="Heading1"/>
      </w:pPr>
      <w:r>
        <w:t>20. Ground References and Evidence Notes</w:t>
      </w:r>
    </w:p>
    <w:p>
      <w:pPr>
        <w:spacing w:after="100"/>
      </w:pPr>
      <w:r>
        <w:rPr>
          <w:b/>
          <w:sz w:val="18"/>
        </w:rPr>
        <w:t>[1] WeMakeDevs / AWS Builder Center — First Commit, Bharat Builds Tour, event page. Current event details, problem theme, tracks, AWS services, prizes, judging criteria and dates.</w:t>
        <w:br/>
      </w:r>
      <w:r>
        <w:rPr>
          <w:color w:val="2B5D9C"/>
          <w:sz w:val="16"/>
        </w:rPr>
        <w:t>https://www.wemakedevs.org/aws/first-commit</w:t>
      </w:r>
    </w:p>
    <w:p>
      <w:pPr>
        <w:spacing w:after="100"/>
      </w:pPr>
      <w:r>
        <w:rPr>
          <w:b/>
          <w:sz w:val="18"/>
        </w:rPr>
        <w:t>[2] WeMakeDevs — Bharat Builds Tour Rules. Submission requirements, AWS-use requirement, public repository, 3-minute demo video and judging rules.</w:t>
        <w:br/>
      </w:r>
      <w:r>
        <w:rPr>
          <w:color w:val="2B5D9C"/>
          <w:sz w:val="16"/>
        </w:rPr>
        <w:t>https://www.wemakedevs.org/aws/rules</w:t>
      </w:r>
    </w:p>
    <w:p>
      <w:pPr>
        <w:spacing w:after="100"/>
      </w:pPr>
      <w:r>
        <w:rPr>
          <w:b/>
          <w:sz w:val="18"/>
        </w:rPr>
        <w:t>[3] Ministry of Health &amp; Family Welfare / NIMHANS — National Mental Health Survey 2015–16. Prevalence, treatment gap and outcomes.</w:t>
        <w:br/>
      </w:r>
      <w:r>
        <w:rPr>
          <w:color w:val="2B5D9C"/>
          <w:sz w:val="16"/>
        </w:rPr>
        <w:t>https://www.mohfw.gov.in/sites/default/files/National%20Mental%20Health%20Survey%2C%202015-16%20-%20Prevalence%2C%20Pattern%20%26%20Outcomes_0.pdf</w:t>
      </w:r>
    </w:p>
    <w:p>
      <w:pPr>
        <w:spacing w:after="100"/>
      </w:pPr>
      <w:r>
        <w:rPr>
          <w:b/>
          <w:sz w:val="18"/>
        </w:rPr>
        <w:t>[4] Directorate General of Health Services, MoHFW — National Mental Health Programme / District Mental Health Programme / National Tele Mental Health Programme. Accessibility, professional shortage, community data, Tele-MANAS objectives and service structure.</w:t>
        <w:br/>
      </w:r>
      <w:r>
        <w:rPr>
          <w:color w:val="2B5D9C"/>
          <w:sz w:val="16"/>
        </w:rPr>
        <w:t>https://www.dghs.mohfw.gov.in/national-mental-health-programme.php</w:t>
      </w:r>
    </w:p>
    <w:p>
      <w:pPr>
        <w:spacing w:after="100"/>
      </w:pPr>
      <w:r>
        <w:rPr>
          <w:b/>
          <w:sz w:val="18"/>
        </w:rPr>
        <w:t>[5] MoHFW — Rapid Assessment of Tele-MANAS. Describes free 24×7 tele-mental-health support, difficult-to-reach populations, continuity/follow-up and linkage to in-person care.</w:t>
        <w:br/>
      </w:r>
      <w:r>
        <w:rPr>
          <w:color w:val="2B5D9C"/>
          <w:sz w:val="16"/>
        </w:rPr>
        <w:t>https://www.mohfw.gov.in/sites/default/files/Rapid%20Assessment%20report%20on%20TeleMANAS.pdf</w:t>
      </w:r>
    </w:p>
    <w:p>
      <w:pPr>
        <w:spacing w:after="100"/>
      </w:pPr>
      <w:r>
        <w:rPr>
          <w:b/>
          <w:sz w:val="18"/>
        </w:rPr>
        <w:t>[6] NIMHANS — National Mental Health Survey 2. Nationwide methodology, rural–urban allocation and expected mental-health prevalence/service estimates.</w:t>
        <w:br/>
      </w:r>
      <w:r>
        <w:rPr>
          <w:color w:val="2B5D9C"/>
          <w:sz w:val="16"/>
        </w:rPr>
        <w:t>https://indianmhs.nimhans.ac.in/</w:t>
      </w:r>
    </w:p>
    <w:p>
      <w:pPr>
        <w:spacing w:after="100"/>
      </w:pPr>
      <w:r>
        <w:rPr>
          <w:b/>
          <w:sz w:val="18"/>
        </w:rPr>
        <w:t>[7] NIMHANS OCD Clinic study — Three decades of specialized care for OCD (1997–2020). 2,269 patients; mean duration of illness at presentation 8.21 years; 52.5% from outside Karnataka.</w:t>
        <w:br/>
      </w:r>
      <w:r>
        <w:rPr>
          <w:color w:val="2B5D9C"/>
          <w:sz w:val="16"/>
        </w:rPr>
        <w:t>https://pmc.ncbi.nlm.nih.gov/articles/PMC9129492/</w:t>
      </w:r>
    </w:p>
    <w:p>
      <w:pPr>
        <w:spacing w:after="100"/>
      </w:pPr>
      <w:r>
        <w:rPr>
          <w:b/>
          <w:sz w:val="18"/>
        </w:rPr>
        <w:t>[8] NICE Clinical Guideline CG31 — Obsessive-compulsive disorder and body dysmorphic disorder: treatment recommendations. Stepped care; CBT/ERP; low-intensity options and escalation.</w:t>
        <w:br/>
      </w:r>
      <w:r>
        <w:rPr>
          <w:color w:val="2B5D9C"/>
          <w:sz w:val="16"/>
        </w:rPr>
        <w:t>https://www.nice.org.uk/guidance/cg31/chapter/Recommendations</w:t>
      </w:r>
    </w:p>
    <w:p>
      <w:pPr>
        <w:spacing w:after="100"/>
      </w:pPr>
      <w:r>
        <w:rPr>
          <w:b/>
          <w:sz w:val="18"/>
        </w:rPr>
        <w:t>[9] WHO EMRO — OCD educational guidance describing exposure and response prevention.</w:t>
        <w:br/>
      </w:r>
      <w:r>
        <w:rPr>
          <w:color w:val="2B5D9C"/>
          <w:sz w:val="16"/>
        </w:rPr>
        <w:t>https://applications.emro.who.int/docs/WHOEMMNH232E-eng.pdf</w:t>
      </w:r>
    </w:p>
    <w:p>
      <w:pPr>
        <w:spacing w:after="100"/>
      </w:pPr>
      <w:r>
        <w:rPr>
          <w:b/>
          <w:sz w:val="18"/>
        </w:rPr>
        <w:t>[10] Government of India, MeitY — Digital Personal Data Protection Act, 2023. Consent, purpose limitation and data-principal rights.</w:t>
        <w:br/>
      </w:r>
      <w:r>
        <w:rPr>
          <w:color w:val="2B5D9C"/>
          <w:sz w:val="16"/>
        </w:rPr>
        <w:t>https://www.meity.gov.in/static/uploads/2024/02/Digital-Personal-Data-Protection-Act-2023.pdf</w:t>
      </w:r>
    </w:p>
    <w:p>
      <w:pPr>
        <w:spacing w:after="100"/>
      </w:pPr>
      <w:r>
        <w:rPr>
          <w:b/>
          <w:sz w:val="18"/>
        </w:rPr>
        <w:t>[11] Government of India, MeitY — Digital Personal Data Protection Rules, 2025 and enforcement timeline. Notice, security and phased commencement.</w:t>
        <w:br/>
      </w:r>
      <w:r>
        <w:rPr>
          <w:color w:val="2B5D9C"/>
          <w:sz w:val="16"/>
        </w:rPr>
        <w:t>https://www.meity.gov.in/documents/act-and-policies/digital-personal-data-protection-rules-2025-gDOxUjMtQWa?pageTitle=Digital-Personal-Data-Protection-Rules-2025</w:t>
      </w:r>
    </w:p>
    <w:p>
      <w:pPr>
        <w:spacing w:after="100"/>
      </w:pPr>
      <w:r>
        <w:rPr>
          <w:b/>
          <w:sz w:val="18"/>
        </w:rPr>
        <w:t>[12] Rehabilitation Council of India — Categories / Central Rehabilitation Register. Clinical psychologists are among registered rehabilitation professionals; RCI maintains the CRR.</w:t>
        <w:br/>
      </w:r>
      <w:r>
        <w:rPr>
          <w:color w:val="2B5D9C"/>
          <w:sz w:val="16"/>
        </w:rPr>
        <w:t>https://rehabcouncil.nic.in/categories-u-s-19/</w:t>
      </w:r>
    </w:p>
    <w:p>
      <w:pPr>
        <w:spacing w:after="100"/>
      </w:pPr>
      <w:r>
        <w:rPr>
          <w:b/>
          <w:sz w:val="18"/>
        </w:rPr>
        <w:t>[13] MoHFW — District Mental Health Programme guidelines. Community awareness, service provision, monitoring and referral functions.</w:t>
        <w:br/>
      </w:r>
      <w:r>
        <w:rPr>
          <w:color w:val="2B5D9C"/>
          <w:sz w:val="16"/>
        </w:rPr>
        <w:t>https://www.mohfw.gov.in/sites/default/files/56464578341436263710_0_0.pdf</w:t>
      </w:r>
    </w:p>
    <w:p>
      <w:pPr>
        <w:spacing w:after="100"/>
      </w:pPr>
      <w:r>
        <w:rPr>
          <w:b/>
          <w:sz w:val="18"/>
        </w:rPr>
        <w:t>[14] Government of India — Telemedicine Practice Guidelines. Registered Medical Practitioner judgement, patient identification, consent and decision about telemedicine vs in-person review.</w:t>
        <w:br/>
      </w:r>
      <w:r>
        <w:rPr>
          <w:color w:val="2B5D9C"/>
          <w:sz w:val="16"/>
        </w:rPr>
        <w:t>https://esanjeevani.mohfw.gov.in/assets/guidelines/Telemedicine_Practice_Guidelines.pdf</w:t>
      </w:r>
    </w:p>
    <w:p>
      <w:pPr>
        <w:spacing w:after="100"/>
      </w:pPr>
      <w:r>
        <w:rPr>
          <w:b/>
          <w:sz w:val="18"/>
        </w:rPr>
        <w:t>[15] WHO — Addressing Mental Health in India. Country-level context for mental-health system strengthening.</w:t>
        <w:br/>
      </w:r>
      <w:r>
        <w:rPr>
          <w:color w:val="2B5D9C"/>
          <w:sz w:val="16"/>
        </w:rPr>
        <w:t>https://www.who.int/india/publications/i/item/9789290210177</w:t>
      </w:r>
    </w:p>
    <w:p>
      <w:pPr>
        <w:pStyle w:val="Heading2"/>
      </w:pPr>
      <w:r>
        <w:t>20.1 Evidence caveats</w:t>
      </w:r>
    </w:p>
    <w:p>
      <w:pPr>
        <w:pStyle w:val="ListBullet"/>
        <w:spacing w:after="40"/>
      </w:pPr>
      <w:r>
        <w:t>The NMHS-1 prevalence and treatment-gap numbers are from the 2015–16 survey and should be labeled as the completed national benchmark, not as a 2026 prevalence estimate. NMHS-2 is underway and is designed for updated national/state estimates. [3][6]</w:t>
      </w:r>
    </w:p>
    <w:p>
      <w:pPr>
        <w:pStyle w:val="ListBullet"/>
        <w:spacing w:after="40"/>
      </w:pPr>
      <w:r>
        <w:t>The NIMHANS OCD-clinic study is a specialty-clinic sample, not a population survey; its long duration-at-presentation figure should be used to illustrate delayed presentation among treatment-seeking patients, not national prevalence. [7]</w:t>
      </w:r>
    </w:p>
    <w:p>
      <w:pPr>
        <w:pStyle w:val="ListBullet"/>
        <w:spacing w:after="40"/>
      </w:pPr>
      <w:r>
        <w:t>The Kerala college study reporting 3.3% point prevalence was conducted in 18–25-year-old students in Ernakulam and should not be generalized to the Indian population. [16]</w:t>
      </w:r>
    </w:p>
    <w:p>
      <w:pPr>
        <w:pStyle w:val="ListBullet"/>
        <w:spacing w:after="40"/>
      </w:pPr>
      <w:r>
        <w:t>Business-model numbers in this document are strategic hypotheses, not measured market-size estimates.</w:t>
      </w:r>
    </w:p>
    <w:p>
      <w:pPr>
        <w:pStyle w:val="Heading2"/>
      </w:pPr>
      <w:r>
        <w:t>20.2 Additional OCD prevalence study (context only)</w:t>
      </w:r>
    </w:p>
    <w:p>
      <w:r>
        <w:rPr>
          <w:b/>
        </w:rPr>
        <w:t xml:space="preserve">[16] </w:t>
      </w:r>
      <w:r>
        <w:t xml:space="preserve">Prevalence and correlates of OCD and subthreshold OCD among college students in Kerala, India (18–25 years; n=5,784; point prevalence reported as 3.3%). </w:t>
      </w:r>
      <w:r>
        <w:rPr>
          <w:color w:val="2B5D9C"/>
          <w:sz w:val="16"/>
        </w:rPr>
        <w:t>https://pmc.ncbi.nlm.nih.gov/articles/PMC5419013/</w:t>
      </w:r>
    </w:p>
    <w:p>
      <w:r>
        <w:br w:type="page"/>
      </w:r>
    </w:p>
    <w:p>
      <w:pPr>
        <w:pStyle w:val="Heading1"/>
      </w:pPr>
      <w:r>
        <w:t>21. Final Product Definition</w:t>
      </w:r>
    </w:p>
    <w:tbl>
      <w:tblPr>
        <w:tblStyle w:val="TableGrid"/>
        <w:tblW w:type="auto" w:w="0"/>
        <w:tblLook w:firstColumn="1" w:firstRow="1" w:lastColumn="0" w:lastRow="0" w:noHBand="0" w:noVBand="1" w:val="04A0"/>
      </w:tblPr>
      <w:tblGrid>
        <w:gridCol w:w="10080"/>
      </w:tblGrid>
      <w:tr>
        <w:trPr>
          <w:tblHeader w:val="true"/>
        </w:trPr>
        <w:tc>
          <w:tcPr>
            <w:tcW w:type="dxa" w:w="10080"/>
            <w:shd w:fill="E8F5F3"/>
          </w:tcPr>
          <w:p>
            <w:r/>
            <w:r>
              <w:rPr>
                <w:b/>
                <w:color w:val="1B2C4F"/>
                <w:sz w:val="20"/>
              </w:rPr>
              <w:t>BETWEEN SESSIONS IN ONE PARAGRAPH</w:t>
              <w:br/>
            </w:r>
            <w:r>
              <w:rPr>
                <w:color w:val="232323"/>
                <w:sz w:val="18"/>
              </w:rPr>
              <w:t>Between Sessions is an OCD-first, privacy-conscious digital care-continuity platform. It gives users a free, structured place to learn about OCD and ERP, record behavioral patterns, monitor progress and generate AI summaries from their own data. When the user wants or needs human guidance, the platform provides a verified-practitioner pathway where the user controls what is shared. Professionals can review longitudinal summaries, provide guidance within their scope and recommend escalation or referral. Over time, the same consent and data architecture can support broader mental-wellbeing workflows and carefully governed, de-identified public-health insights. The product is intentionally not an AI therapist, diagnosis engine or emergency service.</w:t>
            </w:r>
          </w:p>
        </w:tc>
      </w:tr>
    </w:tbl>
    <w:p/>
    <w:p>
      <w:pPr>
        <w:pStyle w:val="Heading2"/>
      </w:pPr>
      <w:r>
        <w:t>The product principle to keep repeating</w:t>
      </w:r>
    </w:p>
    <w:p>
      <w:r>
        <w:rPr>
          <w:b/>
          <w:color w:val="1B2C4F"/>
          <w:sz w:val="24"/>
        </w:rPr>
        <w:t>Software helps a person take the next useful step. Qualified humans decide when clinical care is needed.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5F"/>
        <w:sz w:val="15"/>
      </w:rPr>
      <w:t>Concept document | 16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5F5F"/>
        <w:sz w:val="15"/>
      </w:rPr>
      <w:t>BETWEEN SESSIONS  |  Project Concept &amp; Product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3232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B2C4F"/>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B5D9C"/>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257D7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B2C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F5F5F"/>
      <w:sz w:val="16"/>
    </w:rPr>
  </w:style>
  <w:style w:type="paragraph" w:customStyle="1" w:styleId="Callout">
    <w:name w:val="Callout"/>
    <w:pPr>
      <w:spacing w:after="80"/>
    </w:pPr>
    <w:rPr>
      <w:rFonts w:ascii="Aptos" w:hAnsi="Aptos"/>
      <w:b/>
      <w:color w:val="1B2C4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