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P127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Lead Payments Engineer | Community First Credit Union | 2018-03 to 2021-07</w:t>
      </w:r>
    </w:p>
    <w:p>
      <w:pPr/>
      <w:r>
        <w:t>Led payments platform modernization, integrating RTP and ISO 8583. Coordinated vendor partnerships and fraud prevention.</w:t>
      </w:r>
    </w:p>
    <w:p>
      <w:pPr>
        <w:keepNext/>
      </w:pPr>
      <w:r>
        <w:rPr>
          <w:b/>
        </w:rPr>
        <w:t>Principal Payments Engineer | Community First Credit Union | 2021-08 to Present</w:t>
      </w:r>
    </w:p>
    <w:p>
      <w:pPr/>
      <w:r>
        <w:t>Designing gateway integrations and ensuring idempotency across recurring billing. Mentor engineering teams on payments best practices.</w:t>
      </w:r>
    </w:p>
    <w:p>
      <w:pPr>
        <w:keepNext/>
      </w:pPr>
      <w:r>
        <w:rPr>
          <w:b/>
        </w:rPr>
        <w:t>Payments Engineer | MidSouth Bank | 2012-10 to 2018-02</w:t>
      </w:r>
    </w:p>
    <w:p>
      <w:pPr/>
      <w:r>
        <w:t>Implemented ISO 8583 message handling and integrated payment gateways. Improved fraud detection rules and reduced chargebacks.</w:t>
      </w:r>
    </w:p>
    <w:p>
      <w:pPr>
        <w:keepNext/>
      </w:pPr>
      <w:r>
        <w:rPr>
          <w:b/>
        </w:rPr>
        <w:t>Junior Payments Engineer | First Tennessee Bank | 2011-01 to 2012-09</w:t>
      </w:r>
    </w:p>
    <w:p>
      <w:pPr/>
      <w:r>
        <w:t>Assisted in maintenance of payment processing systems. Wrote API integrations and supported legacy platforms.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ISO 8583; Real-time payments (RTP); Idempotency; Recurring billing; Fraud detection and prevention; Payment gateway integration; Modusbox; PostgreSQL; Marqeta; Spreedly; Worldpay; Braintree; Java; API design; Distributed systems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University of Alabama</w:t>
      </w:r>
    </w:p>
    <w:p>
      <w:pPr/>
      <w:r>
        <w:t>2006-09 to 2010-06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PCI Professional (PCIP)</w:t>
      </w:r>
    </w:p>
    <w:p>
      <w:pPr>
        <w:keepNext/>
      </w:pPr>
      <w:r>
        <w:t>Issued by PCI Security Standards Council.</w:t>
      </w:r>
    </w:p>
    <w:p>
      <w:pPr/>
      <w:r>
        <w:t>2017-01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P127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