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F9A3A" w14:textId="77777777" w:rsidR="00A35672" w:rsidRDefault="00000000">
      <w:pPr>
        <w:spacing w:after="200"/>
        <w:jc w:val="center"/>
      </w:pPr>
      <w:r>
        <w:rPr>
          <w:b/>
          <w:sz w:val="40"/>
        </w:rPr>
        <w:t>Predicting Short-Term Stock Price Direction Using</w:t>
      </w:r>
      <w:r>
        <w:rPr>
          <w:b/>
          <w:sz w:val="40"/>
        </w:rPr>
        <w:br/>
        <w:t>Technical Indicators and News Sentiment</w:t>
      </w:r>
    </w:p>
    <w:p w14:paraId="2E2C7B43" w14:textId="77777777" w:rsidR="00A35672" w:rsidRDefault="00000000">
      <w:pPr>
        <w:spacing w:after="400"/>
        <w:jc w:val="center"/>
      </w:pPr>
      <w:r>
        <w:rPr>
          <w:i/>
          <w:sz w:val="26"/>
        </w:rPr>
        <w:t>Draft Report — Team members: Alex, Seb, Umesh, Naziia</w:t>
      </w:r>
    </w:p>
    <w:p w14:paraId="7B818B29" w14:textId="77777777" w:rsidR="00A35672" w:rsidRDefault="00A35672"/>
    <w:p w14:paraId="33C48B39" w14:textId="77777777" w:rsidR="00A35672" w:rsidRDefault="00000000">
      <w:pPr>
        <w:pStyle w:val="Heading1"/>
      </w:pPr>
      <w:r>
        <w:t>Introduction</w:t>
      </w:r>
    </w:p>
    <w:p w14:paraId="161DCFC5" w14:textId="77777777" w:rsidR="00A35672" w:rsidRDefault="00000000">
      <w:r>
        <w:t>Stock price prediction is one of the most studied problems in quantitative finance, yet it remains notoriously difficult. Efficient Market Hypothesis (EMH) suggests that publicly available information is already priced in, leaving little exploitable signal. This project tests a narrower, more concrete version of the question: Can a combination of technical indicators, macroeconomic signals, and news sentiment predict whether an individual S&amp;P 500 stock will close higher or lower the following trading day?</w:t>
      </w:r>
    </w:p>
    <w:p w14:paraId="10B865AD" w14:textId="77777777" w:rsidR="00A35672" w:rsidRDefault="00000000">
      <w:r>
        <w:t>We frame this as a binary classification task (Up = 1, Down/Flat = 0) and evaluate models against four baselines designed to represent progressively smarter zero-effort strategies.</w:t>
      </w:r>
    </w:p>
    <w:p w14:paraId="0D215EAA" w14:textId="77777777" w:rsidR="00A35672" w:rsidRDefault="00000000">
      <w:pPr>
        <w:pStyle w:val="Heading2"/>
      </w:pPr>
      <w:r>
        <w:t>Dataset</w:t>
      </w:r>
    </w:p>
    <w:p w14:paraId="543957CE" w14:textId="77777777" w:rsidR="00A35672" w:rsidRDefault="00000000">
      <w:r>
        <w:t>Our dataset was assembled from five sources:</w:t>
      </w:r>
    </w:p>
    <w:p w14:paraId="36EA4E95" w14:textId="77777777" w:rsidR="00A35672" w:rsidRDefault="00000000">
      <w:pPr>
        <w:spacing w:after="60"/>
        <w:ind w:left="360"/>
      </w:pPr>
      <w:r>
        <w:t xml:space="preserve">1. </w:t>
      </w:r>
      <w:r>
        <w:rPr>
          <w:b/>
        </w:rPr>
        <w:t>S&amp;P 500 price data</w:t>
      </w:r>
      <w:r>
        <w:t xml:space="preserve"> — daily OHLCV and adjusted close for current S&amp;P 500 constituents, downloaded from Yahoo Finance via yfinance. Covers 2016-02-10 to 2026-02-09, yielding approximately 1.26 million stock-day rows across 503 tickers. Note: we intentionally use the current constituent list for all historical dates, introducing survivorship bias.</w:t>
      </w:r>
    </w:p>
    <w:p w14:paraId="55D56E50" w14:textId="77777777" w:rsidR="00A35672" w:rsidRDefault="00000000">
      <w:pPr>
        <w:spacing w:after="60"/>
        <w:ind w:left="360"/>
      </w:pPr>
      <w:r>
        <w:t xml:space="preserve">2. </w:t>
      </w:r>
      <w:r>
        <w:rPr>
          <w:b/>
        </w:rPr>
        <w:t>Company metadata and index level (Umesh)</w:t>
      </w:r>
      <w:r>
        <w:t xml:space="preserve"> — sector, industry, market cap, revenue growth, S&amp;P 500 index weight, and the daily S&amp;P 500 index price.</w:t>
      </w:r>
    </w:p>
    <w:p w14:paraId="77F5D823" w14:textId="77777777" w:rsidR="00A35672" w:rsidRDefault="00000000">
      <w:pPr>
        <w:spacing w:after="60"/>
        <w:ind w:left="360"/>
      </w:pPr>
      <w:r>
        <w:t xml:space="preserve">3. </w:t>
      </w:r>
      <w:r>
        <w:rPr>
          <w:b/>
        </w:rPr>
        <w:t>NYSE OHLC data (Naziia)</w:t>
      </w:r>
      <w:r>
        <w:t xml:space="preserve"> — alternative open/high/low/close series for a subset of tickers.</w:t>
      </w:r>
    </w:p>
    <w:p w14:paraId="2D71B831" w14:textId="77777777" w:rsidR="00A35672" w:rsidRDefault="00000000">
      <w:pPr>
        <w:spacing w:after="60"/>
        <w:ind w:left="360"/>
      </w:pPr>
      <w:r>
        <w:t xml:space="preserve">4. </w:t>
      </w:r>
      <w:r>
        <w:rPr>
          <w:b/>
        </w:rPr>
        <w:t>Market regime features (Seb)</w:t>
      </w:r>
      <w:r>
        <w:t xml:space="preserve"> — daily VIX (standardised), yield spread, and a Gaussian Mixture Model (GMM) regime label with three states (0 = calm, 1 = normal, 2 = stressful).</w:t>
      </w:r>
    </w:p>
    <w:p w14:paraId="7EB404D7" w14:textId="77777777" w:rsidR="00A35672" w:rsidRDefault="00000000">
      <w:pPr>
        <w:spacing w:after="60"/>
        <w:ind w:left="360"/>
      </w:pPr>
      <w:r>
        <w:t xml:space="preserve">5. </w:t>
      </w:r>
      <w:r>
        <w:rPr>
          <w:b/>
        </w:rPr>
        <w:t>News sentiment (Alex)</w:t>
      </w:r>
      <w:r>
        <w:t xml:space="preserve"> — FinBERT sentiment scores aggregated by (date, ticker) from the Kaggle “Massive Stock News” dataset (analyst headlines, 2016–2020). Features include news_count, sentiment_mean, sentiment_ratio, and a binary has_news flag.</w:t>
      </w:r>
    </w:p>
    <w:p w14:paraId="5B2AB287" w14:textId="77777777" w:rsidR="00A35672" w:rsidRDefault="00A35672"/>
    <w:p w14:paraId="100FB9A4" w14:textId="77777777" w:rsidR="00A35672" w:rsidRDefault="00000000">
      <w:r>
        <w:t>The final merged dataset contains 43 columns. Missingness is substantial for several data streams: NYSE prices (∸85% missing), market regime features (∸84% missing), and news sentiment (∸94% missing). Missing values for modelling are handled via median imputation (VIX, Yield Spread, Regime) and zero-fill (sentiment, revenue growth), so all rows are retained after feature engineering.</w:t>
      </w:r>
    </w:p>
    <w:p w14:paraId="46517ED3" w14:textId="77777777" w:rsidR="00A35672" w:rsidRDefault="00000000">
      <w:pPr>
        <w:pStyle w:val="Heading1"/>
      </w:pPr>
      <w:r>
        <w:t>Methodology</w:t>
      </w:r>
    </w:p>
    <w:p w14:paraId="3F7B51F9" w14:textId="77777777" w:rsidR="00A35672" w:rsidRDefault="00000000">
      <w:pPr>
        <w:pStyle w:val="Heading2"/>
      </w:pPr>
      <w:r>
        <w:t>Feature Engineering</w:t>
      </w:r>
    </w:p>
    <w:p w14:paraId="790497D1" w14:textId="77777777" w:rsidR="00A35672" w:rsidRDefault="00000000">
      <w:r>
        <w:t>We derived 18 features from the merged dataset. After dropping rows with remaining NaN values, 1,219,484 rows are used for modelling. The feature groups are:</w:t>
      </w:r>
    </w:p>
    <w:p w14:paraId="40412F60" w14:textId="77777777" w:rsidR="00A35672" w:rsidRDefault="00000000">
      <w:pPr>
        <w:spacing w:after="60"/>
        <w:ind w:left="360"/>
      </w:pPr>
      <w:r>
        <w:lastRenderedPageBreak/>
        <w:t xml:space="preserve">• </w:t>
      </w:r>
      <w:r>
        <w:rPr>
          <w:b/>
        </w:rPr>
        <w:t>Price momentum &amp; lagged returns</w:t>
      </w:r>
      <w:r>
        <w:t>: lag_return_1, lag_return_2, lag_return_5, price_to_ma20, rolling_std_20</w:t>
      </w:r>
    </w:p>
    <w:p w14:paraId="1FC358DC" w14:textId="77777777" w:rsidR="00A35672" w:rsidRDefault="00000000">
      <w:pPr>
        <w:spacing w:after="60"/>
        <w:ind w:left="360"/>
      </w:pPr>
      <w:r>
        <w:t xml:space="preserve">• </w:t>
      </w:r>
      <w:r>
        <w:rPr>
          <w:b/>
        </w:rPr>
        <w:t>Intraday structure</w:t>
      </w:r>
      <w:r>
        <w:t>: hl_range (high–low / close), oc_gap (overnight gap), vol_norm (volume vs 20-day average)</w:t>
      </w:r>
    </w:p>
    <w:p w14:paraId="2434A160" w14:textId="77777777" w:rsidR="00A35672" w:rsidRDefault="00000000">
      <w:pPr>
        <w:spacing w:after="60"/>
        <w:ind w:left="360"/>
      </w:pPr>
      <w:r>
        <w:t xml:space="preserve">• </w:t>
      </w:r>
      <w:r>
        <w:rPr>
          <w:b/>
        </w:rPr>
        <w:t>Macro &amp; regime</w:t>
      </w:r>
      <w:r>
        <w:t>: VIX, Yield_Spread, Regime_GMM</w:t>
      </w:r>
    </w:p>
    <w:p w14:paraId="121FB539" w14:textId="77777777" w:rsidR="00A35672" w:rsidRDefault="00000000">
      <w:pPr>
        <w:spacing w:after="60"/>
        <w:ind w:left="360"/>
      </w:pPr>
      <w:r>
        <w:t xml:space="preserve">• </w:t>
      </w:r>
      <w:r>
        <w:rPr>
          <w:b/>
        </w:rPr>
        <w:t>Sentiment &amp; fundamentals</w:t>
      </w:r>
      <w:r>
        <w:t>: sentiment_mean, sentiment_ratio, has_news, log_marketcap, Revenuegrowth, Weight, Sector_encoded</w:t>
      </w:r>
    </w:p>
    <w:p w14:paraId="6577FAE9" w14:textId="77777777" w:rsidR="00A35672" w:rsidRDefault="00A35672"/>
    <w:p w14:paraId="46E1A71E" w14:textId="77777777" w:rsidR="00A35672" w:rsidRDefault="00000000">
      <w:r>
        <w:t>The target variable is target = 1 if next-day return &gt; 0, else 0. No future information is used in any feature; all values are observable at market close on day T to predict day T+1.</w:t>
      </w:r>
    </w:p>
    <w:p w14:paraId="59D50802" w14:textId="77777777" w:rsidR="00A35672" w:rsidRDefault="00000000">
      <w:pPr>
        <w:pStyle w:val="Heading2"/>
      </w:pPr>
      <w:r>
        <w:t>Train / Test Split</w:t>
      </w:r>
    </w:p>
    <w:p w14:paraId="5CA113F6" w14:textId="77777777" w:rsidR="00A35672" w:rsidRDefault="00000000">
      <w:r>
        <w:t>We use a time-based split at 2023-01-01, with no shuffling, to prevent leakage of future information into training. This yields:</w:t>
      </w:r>
    </w:p>
    <w:p w14:paraId="2A87990A" w14:textId="7FE1C191" w:rsidR="00A35672" w:rsidRDefault="00000000">
      <w:pPr>
        <w:spacing w:after="60"/>
        <w:ind w:left="360"/>
      </w:pPr>
      <w:r>
        <w:t>• Train: ∸68.3%, spanning 2016 through end of 2022 (~839,000 rows).</w:t>
      </w:r>
    </w:p>
    <w:p w14:paraId="2F06D1DA" w14:textId="77777777" w:rsidR="00A35672" w:rsidRDefault="00000000">
      <w:pPr>
        <w:spacing w:after="60"/>
        <w:ind w:left="360"/>
      </w:pPr>
      <w:r>
        <w:t>• Test: ∸31.7% of rows, spanning 2023 through early 2026 (~389,000 rows).</w:t>
      </w:r>
    </w:p>
    <w:p w14:paraId="33AD5B08" w14:textId="77777777" w:rsidR="00A35672" w:rsidRDefault="00000000">
      <w:r>
        <w:t>The test set deliberately includes distinct market environments (post-COVID recovery, 2024 election period, and 2025), providing a stress test of out-of-sample generalization.</w:t>
      </w:r>
    </w:p>
    <w:p w14:paraId="1C8A1CA6" w14:textId="77777777" w:rsidR="00A35672" w:rsidRDefault="00000000">
      <w:pPr>
        <w:pStyle w:val="Heading2"/>
      </w:pPr>
      <w:r>
        <w:t>Baselines</w:t>
      </w:r>
    </w:p>
    <w:p w14:paraId="7979BE81" w14:textId="77777777" w:rsidR="00A35672" w:rsidRDefault="00000000">
      <w:r>
        <w:t>Before evaluating any ML model, we established four zero-parameter baselines:</w:t>
      </w:r>
    </w:p>
    <w:p w14:paraId="4E8E4F87" w14:textId="77777777" w:rsidR="00A35672" w:rsidRDefault="00000000">
      <w:pPr>
        <w:spacing w:after="60"/>
        <w:ind w:left="360"/>
      </w:pPr>
      <w:r>
        <w:t xml:space="preserve">• </w:t>
      </w:r>
      <w:r>
        <w:rPr>
          <w:b/>
        </w:rPr>
        <w:t>Random Guess</w:t>
      </w:r>
      <w:r>
        <w:t xml:space="preserve"> — Coin flip; absolute floor.</w:t>
      </w:r>
    </w:p>
    <w:p w14:paraId="448DC0D7" w14:textId="77777777" w:rsidR="00A35672" w:rsidRDefault="00000000">
      <w:pPr>
        <w:spacing w:after="60"/>
        <w:ind w:left="360"/>
      </w:pPr>
      <w:r>
        <w:t xml:space="preserve">• </w:t>
      </w:r>
      <w:r>
        <w:rPr>
          <w:b/>
        </w:rPr>
        <w:t>Always Up</w:t>
      </w:r>
      <w:r>
        <w:t xml:space="preserve"> — Exploit positive long-run market drift.</w:t>
      </w:r>
    </w:p>
    <w:p w14:paraId="0D2BC6EF" w14:textId="77777777" w:rsidR="00A35672" w:rsidRDefault="00000000">
      <w:pPr>
        <w:spacing w:after="60"/>
        <w:ind w:left="360"/>
      </w:pPr>
      <w:r>
        <w:t xml:space="preserve">• </w:t>
      </w:r>
      <w:r>
        <w:rPr>
          <w:b/>
        </w:rPr>
        <w:t>Follow Yesterday</w:t>
      </w:r>
      <w:r>
        <w:t xml:space="preserve"> — Predict tomorrow = direction of today’s return (individual momentum).</w:t>
      </w:r>
    </w:p>
    <w:p w14:paraId="637B7598" w14:textId="77777777" w:rsidR="00A35672" w:rsidRDefault="00000000">
      <w:pPr>
        <w:spacing w:after="60"/>
        <w:ind w:left="360"/>
      </w:pPr>
      <w:r>
        <w:t xml:space="preserve">• </w:t>
      </w:r>
      <w:r>
        <w:rPr>
          <w:b/>
        </w:rPr>
        <w:t>Follow Market</w:t>
      </w:r>
      <w:r>
        <w:t xml:space="preserve"> — Predict tomorrow = direction of today’s S&amp;P 500 return.</w:t>
      </w:r>
    </w:p>
    <w:p w14:paraId="125B3FF5" w14:textId="77777777" w:rsidR="00A35672" w:rsidRDefault="00A35672"/>
    <w:p w14:paraId="51B15785" w14:textId="77777777" w:rsidR="00A35672" w:rsidRDefault="00000000">
      <w:r>
        <w:t>The "Follow Market" baseline is especially important because individual stock returns are largely driven by market-wide beta. Beating it demonstrates that a model has learned something beyond simple co-movement.</w:t>
      </w:r>
    </w:p>
    <w:p w14:paraId="1B776807" w14:textId="77777777" w:rsidR="00A35672" w:rsidRDefault="00000000">
      <w:pPr>
        <w:pStyle w:val="Heading2"/>
      </w:pPr>
      <w:r>
        <w:t>Models</w:t>
      </w:r>
    </w:p>
    <w:p w14:paraId="4EDE9ECC" w14:textId="77777777" w:rsidR="00A35672" w:rsidRDefault="00000000">
      <w:r>
        <w:t>We trained and evaluated two classification models, both using the identical 18 features and the same time-split:</w:t>
      </w:r>
    </w:p>
    <w:p w14:paraId="4D7ED22C" w14:textId="77777777" w:rsidR="00A35672" w:rsidRDefault="00000000">
      <w:pPr>
        <w:spacing w:after="80"/>
        <w:ind w:left="360"/>
      </w:pPr>
      <w:r>
        <w:rPr>
          <w:b/>
        </w:rPr>
        <w:t>Decision Tree</w:t>
      </w:r>
      <w:r>
        <w:t xml:space="preserve"> — trained with GridSearchCV over max_depth in [2, 39] using 5-fold TimeSeriesSplit. The best depth (19) was selected on mean validation accuracy.</w:t>
      </w:r>
    </w:p>
    <w:p w14:paraId="1551C890" w14:textId="77777777" w:rsidR="00A35672" w:rsidRDefault="00000000">
      <w:pPr>
        <w:spacing w:after="80"/>
        <w:ind w:left="360"/>
      </w:pPr>
      <w:r>
        <w:rPr>
          <w:b/>
        </w:rPr>
        <w:t>Logistic Regression</w:t>
      </w:r>
      <w:r>
        <w:t xml:space="preserve"> — features were standardised with StandardScaler fitted on the training set only (no leakage). Regularisation strength was selected via LogisticRegressionCV with 100 candidate C values (L2 penalty).</w:t>
      </w:r>
    </w:p>
    <w:p w14:paraId="7D880956" w14:textId="77777777" w:rsidR="00A35672" w:rsidRDefault="00000000">
      <w:pPr>
        <w:pStyle w:val="Heading1"/>
      </w:pPr>
      <w:r>
        <w:lastRenderedPageBreak/>
        <w:t>Results and Discussion</w:t>
      </w:r>
    </w:p>
    <w:p w14:paraId="66DB1DF4" w14:textId="77777777" w:rsidR="00A35672" w:rsidRDefault="00000000">
      <w:pPr>
        <w:pStyle w:val="Heading2"/>
      </w:pPr>
      <w:r>
        <w:t>Baseline Results</w:t>
      </w:r>
    </w:p>
    <w:p w14:paraId="7F190143" w14:textId="77777777" w:rsidR="00A35672" w:rsidRDefault="00000000">
      <w:pPr>
        <w:spacing w:after="80"/>
      </w:pPr>
      <w:r>
        <w:rPr>
          <w:b/>
        </w:rPr>
        <w:t xml:space="preserve">Table 1: </w:t>
      </w:r>
      <w:r>
        <w:t>Baseline Accuracy on Test Set (≥ 2023-01-01)</w:t>
      </w:r>
    </w:p>
    <w:tbl>
      <w:tblPr>
        <w:tblW w:w="0" w:type="auto"/>
        <w:tblLook w:val="04A0" w:firstRow="1" w:lastRow="0" w:firstColumn="1" w:lastColumn="0" w:noHBand="0" w:noVBand="1"/>
      </w:tblPr>
      <w:tblGrid>
        <w:gridCol w:w="4320"/>
        <w:gridCol w:w="3600"/>
      </w:tblGrid>
      <w:tr w:rsidR="00A35672" w14:paraId="211CBA63" w14:textId="77777777">
        <w:tc>
          <w:tcPr>
            <w:tcW w:w="4320" w:type="dxa"/>
            <w:tcBorders>
              <w:top w:val="single" w:sz="4" w:space="0" w:color="000000"/>
              <w:left w:val="single" w:sz="4" w:space="0" w:color="000000"/>
              <w:bottom w:val="single" w:sz="4" w:space="0" w:color="000000"/>
              <w:right w:val="single" w:sz="4" w:space="0" w:color="000000"/>
            </w:tcBorders>
          </w:tcPr>
          <w:p w14:paraId="7D526F8E" w14:textId="77777777" w:rsidR="00A35672" w:rsidRDefault="00000000">
            <w:pPr>
              <w:jc w:val="center"/>
            </w:pPr>
            <w:r>
              <w:rPr>
                <w:b/>
                <w:sz w:val="22"/>
              </w:rPr>
              <w:t>Baseline Strategy</w:t>
            </w:r>
          </w:p>
        </w:tc>
        <w:tc>
          <w:tcPr>
            <w:tcW w:w="3600" w:type="dxa"/>
            <w:tcBorders>
              <w:top w:val="single" w:sz="4" w:space="0" w:color="000000"/>
              <w:left w:val="single" w:sz="4" w:space="0" w:color="000000"/>
              <w:bottom w:val="single" w:sz="4" w:space="0" w:color="000000"/>
              <w:right w:val="single" w:sz="4" w:space="0" w:color="000000"/>
            </w:tcBorders>
          </w:tcPr>
          <w:p w14:paraId="5E8EA354" w14:textId="77777777" w:rsidR="00A35672" w:rsidRDefault="00000000">
            <w:pPr>
              <w:jc w:val="center"/>
            </w:pPr>
            <w:r>
              <w:rPr>
                <w:b/>
                <w:sz w:val="22"/>
              </w:rPr>
              <w:t>Test Accuracy</w:t>
            </w:r>
          </w:p>
        </w:tc>
      </w:tr>
      <w:tr w:rsidR="00A35672" w14:paraId="58342BE1" w14:textId="77777777">
        <w:tc>
          <w:tcPr>
            <w:tcW w:w="4320" w:type="dxa"/>
            <w:tcBorders>
              <w:top w:val="single" w:sz="4" w:space="0" w:color="000000"/>
              <w:left w:val="single" w:sz="4" w:space="0" w:color="000000"/>
              <w:bottom w:val="single" w:sz="4" w:space="0" w:color="000000"/>
              <w:right w:val="single" w:sz="4" w:space="0" w:color="000000"/>
            </w:tcBorders>
          </w:tcPr>
          <w:p w14:paraId="66273EE1" w14:textId="77777777" w:rsidR="00A35672" w:rsidRDefault="00000000">
            <w:pPr>
              <w:jc w:val="center"/>
            </w:pPr>
            <w:r>
              <w:rPr>
                <w:sz w:val="22"/>
              </w:rPr>
              <w:t>Random Guess</w:t>
            </w:r>
          </w:p>
        </w:tc>
        <w:tc>
          <w:tcPr>
            <w:tcW w:w="3600" w:type="dxa"/>
            <w:tcBorders>
              <w:top w:val="single" w:sz="4" w:space="0" w:color="000000"/>
              <w:left w:val="single" w:sz="4" w:space="0" w:color="000000"/>
              <w:bottom w:val="single" w:sz="4" w:space="0" w:color="000000"/>
              <w:right w:val="single" w:sz="4" w:space="0" w:color="000000"/>
            </w:tcBorders>
          </w:tcPr>
          <w:p w14:paraId="0AA4328E" w14:textId="77777777" w:rsidR="00A35672" w:rsidRDefault="00000000">
            <w:pPr>
              <w:jc w:val="center"/>
            </w:pPr>
            <w:r>
              <w:rPr>
                <w:sz w:val="22"/>
              </w:rPr>
              <w:t>0.5003</w:t>
            </w:r>
          </w:p>
        </w:tc>
      </w:tr>
      <w:tr w:rsidR="00A35672" w14:paraId="4476F75D" w14:textId="77777777">
        <w:tc>
          <w:tcPr>
            <w:tcW w:w="4320" w:type="dxa"/>
            <w:tcBorders>
              <w:top w:val="single" w:sz="4" w:space="0" w:color="000000"/>
              <w:left w:val="single" w:sz="4" w:space="0" w:color="000000"/>
              <w:bottom w:val="single" w:sz="4" w:space="0" w:color="000000"/>
              <w:right w:val="single" w:sz="4" w:space="0" w:color="000000"/>
            </w:tcBorders>
          </w:tcPr>
          <w:p w14:paraId="64843CB7" w14:textId="77777777" w:rsidR="00A35672" w:rsidRDefault="00000000">
            <w:pPr>
              <w:jc w:val="center"/>
            </w:pPr>
            <w:r>
              <w:rPr>
                <w:sz w:val="22"/>
              </w:rPr>
              <w:t>Always Up</w:t>
            </w:r>
          </w:p>
        </w:tc>
        <w:tc>
          <w:tcPr>
            <w:tcW w:w="3600" w:type="dxa"/>
            <w:tcBorders>
              <w:top w:val="single" w:sz="4" w:space="0" w:color="000000"/>
              <w:left w:val="single" w:sz="4" w:space="0" w:color="000000"/>
              <w:bottom w:val="single" w:sz="4" w:space="0" w:color="000000"/>
              <w:right w:val="single" w:sz="4" w:space="0" w:color="000000"/>
            </w:tcBorders>
          </w:tcPr>
          <w:p w14:paraId="401A1A7D" w14:textId="77777777" w:rsidR="00A35672" w:rsidRDefault="00000000">
            <w:pPr>
              <w:jc w:val="center"/>
            </w:pPr>
            <w:r>
              <w:rPr>
                <w:sz w:val="22"/>
              </w:rPr>
              <w:t>0.5223 (best)</w:t>
            </w:r>
          </w:p>
        </w:tc>
      </w:tr>
      <w:tr w:rsidR="00A35672" w14:paraId="68B7F4DD" w14:textId="77777777">
        <w:tc>
          <w:tcPr>
            <w:tcW w:w="4320" w:type="dxa"/>
            <w:tcBorders>
              <w:top w:val="single" w:sz="4" w:space="0" w:color="000000"/>
              <w:left w:val="single" w:sz="4" w:space="0" w:color="000000"/>
              <w:bottom w:val="single" w:sz="4" w:space="0" w:color="000000"/>
              <w:right w:val="single" w:sz="4" w:space="0" w:color="000000"/>
            </w:tcBorders>
          </w:tcPr>
          <w:p w14:paraId="22FC8F57" w14:textId="77777777" w:rsidR="00A35672" w:rsidRDefault="00000000">
            <w:pPr>
              <w:jc w:val="center"/>
            </w:pPr>
            <w:r>
              <w:rPr>
                <w:sz w:val="22"/>
              </w:rPr>
              <w:t>Follow Yesterday</w:t>
            </w:r>
          </w:p>
        </w:tc>
        <w:tc>
          <w:tcPr>
            <w:tcW w:w="3600" w:type="dxa"/>
            <w:tcBorders>
              <w:top w:val="single" w:sz="4" w:space="0" w:color="000000"/>
              <w:left w:val="single" w:sz="4" w:space="0" w:color="000000"/>
              <w:bottom w:val="single" w:sz="4" w:space="0" w:color="000000"/>
              <w:right w:val="single" w:sz="4" w:space="0" w:color="000000"/>
            </w:tcBorders>
          </w:tcPr>
          <w:p w14:paraId="4E13CD4D" w14:textId="77777777" w:rsidR="00A35672" w:rsidRDefault="00000000">
            <w:pPr>
              <w:jc w:val="center"/>
            </w:pPr>
            <w:r>
              <w:rPr>
                <w:sz w:val="22"/>
              </w:rPr>
              <w:t>0.4961</w:t>
            </w:r>
          </w:p>
        </w:tc>
      </w:tr>
      <w:tr w:rsidR="00A35672" w14:paraId="68679CC0" w14:textId="77777777">
        <w:tc>
          <w:tcPr>
            <w:tcW w:w="4320" w:type="dxa"/>
            <w:tcBorders>
              <w:top w:val="single" w:sz="4" w:space="0" w:color="000000"/>
              <w:left w:val="single" w:sz="4" w:space="0" w:color="000000"/>
              <w:bottom w:val="single" w:sz="4" w:space="0" w:color="000000"/>
              <w:right w:val="single" w:sz="4" w:space="0" w:color="000000"/>
            </w:tcBorders>
          </w:tcPr>
          <w:p w14:paraId="74399FB8" w14:textId="77777777" w:rsidR="00A35672" w:rsidRDefault="00000000">
            <w:pPr>
              <w:jc w:val="center"/>
            </w:pPr>
            <w:r>
              <w:rPr>
                <w:sz w:val="22"/>
              </w:rPr>
              <w:t>Follow Market</w:t>
            </w:r>
          </w:p>
        </w:tc>
        <w:tc>
          <w:tcPr>
            <w:tcW w:w="3600" w:type="dxa"/>
            <w:tcBorders>
              <w:top w:val="single" w:sz="4" w:space="0" w:color="000000"/>
              <w:left w:val="single" w:sz="4" w:space="0" w:color="000000"/>
              <w:bottom w:val="single" w:sz="4" w:space="0" w:color="000000"/>
              <w:right w:val="single" w:sz="4" w:space="0" w:color="000000"/>
            </w:tcBorders>
          </w:tcPr>
          <w:p w14:paraId="61B14316" w14:textId="77777777" w:rsidR="00A35672" w:rsidRDefault="00000000">
            <w:pPr>
              <w:jc w:val="center"/>
            </w:pPr>
            <w:r>
              <w:rPr>
                <w:sz w:val="22"/>
              </w:rPr>
              <w:t>0.4881</w:t>
            </w:r>
          </w:p>
        </w:tc>
      </w:tr>
    </w:tbl>
    <w:p w14:paraId="69F551F5" w14:textId="77777777" w:rsidR="00A35672" w:rsidRDefault="00A35672"/>
    <w:p w14:paraId="0356068A" w14:textId="77777777" w:rsidR="00A35672" w:rsidRDefault="00000000">
      <w:r>
        <w:t>The "Always Up" baseline is the strongest, reflecting a slight positive skew in the test period (52.23% of days are up days). Notably, both “Follow Yesterday” and “Follow Market” perform below random chance on this test set, suggesting that short-term momentum is contrarian rather than persistent over 2023–2026.</w:t>
      </w:r>
    </w:p>
    <w:p w14:paraId="16458A24" w14:textId="77777777" w:rsidR="00A35672" w:rsidRDefault="00000000">
      <w:pPr>
        <w:pStyle w:val="Heading2"/>
      </w:pPr>
      <w:r>
        <w:t>Model Results</w:t>
      </w:r>
    </w:p>
    <w:p w14:paraId="04D14ECA" w14:textId="77777777" w:rsidR="00A35672" w:rsidRDefault="00000000">
      <w:pPr>
        <w:spacing w:after="80"/>
      </w:pPr>
      <w:r>
        <w:rPr>
          <w:b/>
        </w:rPr>
        <w:t xml:space="preserve">Table 2: </w:t>
      </w:r>
      <w:r>
        <w:t>Model Performance vs. Best Baseline</w:t>
      </w:r>
    </w:p>
    <w:tbl>
      <w:tblPr>
        <w:tblW w:w="0" w:type="auto"/>
        <w:tblLook w:val="04A0" w:firstRow="1" w:lastRow="0" w:firstColumn="1" w:lastColumn="0" w:noHBand="0" w:noVBand="1"/>
      </w:tblPr>
      <w:tblGrid>
        <w:gridCol w:w="3456"/>
        <w:gridCol w:w="2160"/>
        <w:gridCol w:w="2016"/>
        <w:gridCol w:w="1872"/>
      </w:tblGrid>
      <w:tr w:rsidR="00A35672" w14:paraId="1EB46D19" w14:textId="77777777">
        <w:tc>
          <w:tcPr>
            <w:tcW w:w="3456" w:type="dxa"/>
            <w:tcBorders>
              <w:top w:val="single" w:sz="4" w:space="0" w:color="000000"/>
              <w:left w:val="single" w:sz="4" w:space="0" w:color="000000"/>
              <w:bottom w:val="single" w:sz="4" w:space="0" w:color="000000"/>
              <w:right w:val="single" w:sz="4" w:space="0" w:color="000000"/>
            </w:tcBorders>
          </w:tcPr>
          <w:p w14:paraId="6CC84856" w14:textId="77777777" w:rsidR="00A35672" w:rsidRDefault="00000000">
            <w:pPr>
              <w:jc w:val="center"/>
            </w:pPr>
            <w:r>
              <w:rPr>
                <w:b/>
                <w:sz w:val="22"/>
              </w:rPr>
              <w:t>Model</w:t>
            </w:r>
          </w:p>
        </w:tc>
        <w:tc>
          <w:tcPr>
            <w:tcW w:w="2160" w:type="dxa"/>
            <w:tcBorders>
              <w:top w:val="single" w:sz="4" w:space="0" w:color="000000"/>
              <w:left w:val="single" w:sz="4" w:space="0" w:color="000000"/>
              <w:bottom w:val="single" w:sz="4" w:space="0" w:color="000000"/>
              <w:right w:val="single" w:sz="4" w:space="0" w:color="000000"/>
            </w:tcBorders>
          </w:tcPr>
          <w:p w14:paraId="5A8C0AD8" w14:textId="77777777" w:rsidR="00A35672" w:rsidRDefault="00000000">
            <w:pPr>
              <w:jc w:val="center"/>
            </w:pPr>
            <w:r>
              <w:rPr>
                <w:b/>
                <w:sz w:val="22"/>
              </w:rPr>
              <w:t>CV Val. Accuracy</w:t>
            </w:r>
          </w:p>
        </w:tc>
        <w:tc>
          <w:tcPr>
            <w:tcW w:w="2016" w:type="dxa"/>
            <w:tcBorders>
              <w:top w:val="single" w:sz="4" w:space="0" w:color="000000"/>
              <w:left w:val="single" w:sz="4" w:space="0" w:color="000000"/>
              <w:bottom w:val="single" w:sz="4" w:space="0" w:color="000000"/>
              <w:right w:val="single" w:sz="4" w:space="0" w:color="000000"/>
            </w:tcBorders>
          </w:tcPr>
          <w:p w14:paraId="4988E732" w14:textId="77777777" w:rsidR="00A35672" w:rsidRDefault="00000000">
            <w:pPr>
              <w:jc w:val="center"/>
            </w:pPr>
            <w:r>
              <w:rPr>
                <w:b/>
                <w:sz w:val="22"/>
              </w:rPr>
              <w:t>Test Accuracy</w:t>
            </w:r>
          </w:p>
        </w:tc>
        <w:tc>
          <w:tcPr>
            <w:tcW w:w="1872" w:type="dxa"/>
            <w:tcBorders>
              <w:top w:val="single" w:sz="4" w:space="0" w:color="000000"/>
              <w:left w:val="single" w:sz="4" w:space="0" w:color="000000"/>
              <w:bottom w:val="single" w:sz="4" w:space="0" w:color="000000"/>
              <w:right w:val="single" w:sz="4" w:space="0" w:color="000000"/>
            </w:tcBorders>
          </w:tcPr>
          <w:p w14:paraId="241A4421" w14:textId="77777777" w:rsidR="00A35672" w:rsidRDefault="00000000">
            <w:pPr>
              <w:jc w:val="center"/>
            </w:pPr>
            <w:r>
              <w:rPr>
                <w:b/>
                <w:sz w:val="22"/>
              </w:rPr>
              <w:t>Δ vs. Baseline</w:t>
            </w:r>
          </w:p>
        </w:tc>
      </w:tr>
      <w:tr w:rsidR="00A35672" w14:paraId="5A90A5A9" w14:textId="77777777">
        <w:tc>
          <w:tcPr>
            <w:tcW w:w="3456" w:type="dxa"/>
            <w:tcBorders>
              <w:top w:val="single" w:sz="4" w:space="0" w:color="000000"/>
              <w:left w:val="single" w:sz="4" w:space="0" w:color="000000"/>
              <w:bottom w:val="single" w:sz="4" w:space="0" w:color="000000"/>
              <w:right w:val="single" w:sz="4" w:space="0" w:color="000000"/>
            </w:tcBorders>
          </w:tcPr>
          <w:p w14:paraId="0ACA1A06" w14:textId="77777777" w:rsidR="00A35672" w:rsidRDefault="00000000">
            <w:pPr>
              <w:jc w:val="center"/>
            </w:pPr>
            <w:r>
              <w:rPr>
                <w:sz w:val="22"/>
              </w:rPr>
              <w:t>Decision Tree (depth 19)</w:t>
            </w:r>
          </w:p>
        </w:tc>
        <w:tc>
          <w:tcPr>
            <w:tcW w:w="2160" w:type="dxa"/>
            <w:tcBorders>
              <w:top w:val="single" w:sz="4" w:space="0" w:color="000000"/>
              <w:left w:val="single" w:sz="4" w:space="0" w:color="000000"/>
              <w:bottom w:val="single" w:sz="4" w:space="0" w:color="000000"/>
              <w:right w:val="single" w:sz="4" w:space="0" w:color="000000"/>
            </w:tcBorders>
          </w:tcPr>
          <w:p w14:paraId="065505AA" w14:textId="77777777" w:rsidR="00A35672" w:rsidRDefault="00000000">
            <w:pPr>
              <w:jc w:val="center"/>
            </w:pPr>
            <w:r>
              <w:rPr>
                <w:sz w:val="22"/>
              </w:rPr>
              <w:t>~0.5600</w:t>
            </w:r>
          </w:p>
        </w:tc>
        <w:tc>
          <w:tcPr>
            <w:tcW w:w="2016" w:type="dxa"/>
            <w:tcBorders>
              <w:top w:val="single" w:sz="4" w:space="0" w:color="000000"/>
              <w:left w:val="single" w:sz="4" w:space="0" w:color="000000"/>
              <w:bottom w:val="single" w:sz="4" w:space="0" w:color="000000"/>
              <w:right w:val="single" w:sz="4" w:space="0" w:color="000000"/>
            </w:tcBorders>
          </w:tcPr>
          <w:p w14:paraId="06C7080E" w14:textId="77777777" w:rsidR="00A35672" w:rsidRDefault="00000000">
            <w:pPr>
              <w:jc w:val="center"/>
            </w:pPr>
            <w:r>
              <w:rPr>
                <w:sz w:val="22"/>
              </w:rPr>
              <w:t>0.5170</w:t>
            </w:r>
          </w:p>
        </w:tc>
        <w:tc>
          <w:tcPr>
            <w:tcW w:w="1872" w:type="dxa"/>
            <w:tcBorders>
              <w:top w:val="single" w:sz="4" w:space="0" w:color="000000"/>
              <w:left w:val="single" w:sz="4" w:space="0" w:color="000000"/>
              <w:bottom w:val="single" w:sz="4" w:space="0" w:color="000000"/>
              <w:right w:val="single" w:sz="4" w:space="0" w:color="000000"/>
            </w:tcBorders>
          </w:tcPr>
          <w:p w14:paraId="1C8CA488" w14:textId="77777777" w:rsidR="00A35672" w:rsidRDefault="00000000">
            <w:pPr>
              <w:jc w:val="center"/>
            </w:pPr>
            <w:r>
              <w:rPr>
                <w:sz w:val="22"/>
              </w:rPr>
              <w:t>−0.0053</w:t>
            </w:r>
          </w:p>
        </w:tc>
      </w:tr>
      <w:tr w:rsidR="00A35672" w14:paraId="73BD0940" w14:textId="77777777">
        <w:tc>
          <w:tcPr>
            <w:tcW w:w="3456" w:type="dxa"/>
            <w:tcBorders>
              <w:top w:val="single" w:sz="4" w:space="0" w:color="000000"/>
              <w:left w:val="single" w:sz="4" w:space="0" w:color="000000"/>
              <w:bottom w:val="single" w:sz="4" w:space="0" w:color="000000"/>
              <w:right w:val="single" w:sz="4" w:space="0" w:color="000000"/>
            </w:tcBorders>
          </w:tcPr>
          <w:p w14:paraId="7A301D55" w14:textId="77777777" w:rsidR="00A35672" w:rsidRDefault="00000000">
            <w:pPr>
              <w:jc w:val="center"/>
            </w:pPr>
            <w:r>
              <w:rPr>
                <w:sz w:val="22"/>
              </w:rPr>
              <w:t>Logistic Regression</w:t>
            </w:r>
          </w:p>
        </w:tc>
        <w:tc>
          <w:tcPr>
            <w:tcW w:w="2160" w:type="dxa"/>
            <w:tcBorders>
              <w:top w:val="single" w:sz="4" w:space="0" w:color="000000"/>
              <w:left w:val="single" w:sz="4" w:space="0" w:color="000000"/>
              <w:bottom w:val="single" w:sz="4" w:space="0" w:color="000000"/>
              <w:right w:val="single" w:sz="4" w:space="0" w:color="000000"/>
            </w:tcBorders>
          </w:tcPr>
          <w:p w14:paraId="22E23706" w14:textId="77777777" w:rsidR="00A35672" w:rsidRDefault="00000000">
            <w:pPr>
              <w:jc w:val="center"/>
            </w:pPr>
            <w:r>
              <w:rPr>
                <w:sz w:val="22"/>
              </w:rPr>
              <w:t>~0.5267</w:t>
            </w:r>
          </w:p>
        </w:tc>
        <w:tc>
          <w:tcPr>
            <w:tcW w:w="2016" w:type="dxa"/>
            <w:tcBorders>
              <w:top w:val="single" w:sz="4" w:space="0" w:color="000000"/>
              <w:left w:val="single" w:sz="4" w:space="0" w:color="000000"/>
              <w:bottom w:val="single" w:sz="4" w:space="0" w:color="000000"/>
              <w:right w:val="single" w:sz="4" w:space="0" w:color="000000"/>
            </w:tcBorders>
          </w:tcPr>
          <w:p w14:paraId="5B659F4B" w14:textId="77777777" w:rsidR="00A35672" w:rsidRDefault="00000000">
            <w:pPr>
              <w:jc w:val="center"/>
            </w:pPr>
            <w:r>
              <w:rPr>
                <w:sz w:val="22"/>
              </w:rPr>
              <w:t>0.5182</w:t>
            </w:r>
          </w:p>
        </w:tc>
        <w:tc>
          <w:tcPr>
            <w:tcW w:w="1872" w:type="dxa"/>
            <w:tcBorders>
              <w:top w:val="single" w:sz="4" w:space="0" w:color="000000"/>
              <w:left w:val="single" w:sz="4" w:space="0" w:color="000000"/>
              <w:bottom w:val="single" w:sz="4" w:space="0" w:color="000000"/>
              <w:right w:val="single" w:sz="4" w:space="0" w:color="000000"/>
            </w:tcBorders>
          </w:tcPr>
          <w:p w14:paraId="649CF056" w14:textId="77777777" w:rsidR="00A35672" w:rsidRDefault="00000000">
            <w:pPr>
              <w:jc w:val="center"/>
            </w:pPr>
            <w:r>
              <w:rPr>
                <w:sz w:val="22"/>
              </w:rPr>
              <w:t>−0.0041</w:t>
            </w:r>
          </w:p>
        </w:tc>
      </w:tr>
    </w:tbl>
    <w:p w14:paraId="3618DFAD" w14:textId="77777777" w:rsidR="00A35672" w:rsidRDefault="00A35672"/>
    <w:p w14:paraId="7349BA40" w14:textId="77777777" w:rsidR="00A35672" w:rsidRDefault="00000000">
      <w:r>
        <w:t>Neither model beat the "Always Up" baseline on the held-out test set. Both models exhibit a similar failure mode: they overwhelmingly predict “Up” (recall ≈ 0.90 for class 1, ≈ 0.10 for class 0), which collapses to the behaviour of the “Always Up” baseline while achieving lower accuracy.</w:t>
      </w:r>
    </w:p>
    <w:p w14:paraId="6E7B113F" w14:textId="77777777" w:rsidR="00A35672" w:rsidRDefault="00000000">
      <w:r>
        <w:t>The gap between CV validation accuracy and test accuracy is notable for the decision tree (∸56% vs 51.7%), suggesting overfitting to patterns in the 2016–2022 training regime that do not persist in 2023–2026.</w:t>
      </w:r>
    </w:p>
    <w:p w14:paraId="0251A297" w14:textId="77777777" w:rsidR="00A35672" w:rsidRDefault="00000000">
      <w:pPr>
        <w:pStyle w:val="Heading2"/>
      </w:pPr>
      <w:r>
        <w:t>Discussion</w:t>
      </w:r>
    </w:p>
    <w:p w14:paraId="10D72259" w14:textId="77777777" w:rsidR="00A35672" w:rsidRDefault="00000000">
      <w:r>
        <w:t>Several factors likely contribute to the models’ inability to beat the baseline:</w:t>
      </w:r>
    </w:p>
    <w:p w14:paraId="284D593F" w14:textId="77777777" w:rsidR="00A35672" w:rsidRDefault="00000000">
      <w:pPr>
        <w:spacing w:after="80"/>
        <w:ind w:left="360"/>
      </w:pPr>
      <w:r>
        <w:t xml:space="preserve">1. </w:t>
      </w:r>
      <w:r>
        <w:rPr>
          <w:b/>
        </w:rPr>
        <w:t>Market efficiency.</w:t>
      </w:r>
      <w:r>
        <w:t xml:space="preserve"> The well-documented finding that short-term price direction is difficult to predict from public information is reproduced here across all models.</w:t>
      </w:r>
    </w:p>
    <w:p w14:paraId="3A65971C" w14:textId="77777777" w:rsidR="00A35672" w:rsidRDefault="00000000">
      <w:pPr>
        <w:spacing w:after="80"/>
        <w:ind w:left="360"/>
      </w:pPr>
      <w:r>
        <w:t xml:space="preserve">2. </w:t>
      </w:r>
      <w:r>
        <w:rPr>
          <w:b/>
        </w:rPr>
        <w:t>Sparse sentiment signal.</w:t>
      </w:r>
      <w:r>
        <w:t xml:space="preserve"> News data covers only ∶6% of (ticker, date) pairs. The has_news flag and sentiment features are zero for the vast majority of rows, diluting any signal they carry.</w:t>
      </w:r>
    </w:p>
    <w:p w14:paraId="6662E31D" w14:textId="77777777" w:rsidR="00A35672" w:rsidRDefault="00000000">
      <w:pPr>
        <w:spacing w:after="80"/>
        <w:ind w:left="360"/>
      </w:pPr>
      <w:r>
        <w:t xml:space="preserve">3. </w:t>
      </w:r>
      <w:r>
        <w:rPr>
          <w:b/>
        </w:rPr>
        <w:t>Survivorship bias.</w:t>
      </w:r>
      <w:r>
        <w:t xml:space="preserve"> Using current S&amp;P 500 constituents for historical dates means the training data over-represents companies that survived and grew, potentially inflating “Up” rates during training.</w:t>
      </w:r>
    </w:p>
    <w:p w14:paraId="7AAFB67C" w14:textId="77777777" w:rsidR="00A35672" w:rsidRDefault="00000000">
      <w:pPr>
        <w:spacing w:after="80"/>
        <w:ind w:left="360"/>
      </w:pPr>
      <w:r>
        <w:lastRenderedPageBreak/>
        <w:t xml:space="preserve">4. </w:t>
      </w:r>
      <w:r>
        <w:rPr>
          <w:b/>
        </w:rPr>
        <w:t>Regime shift.</w:t>
      </w:r>
      <w:r>
        <w:t xml:space="preserve"> The training period (2016–2022) includes the COVID crash and recovery, while the test period (2023–2026) is a markedly different macroeconomic environment. Features calibrated on the training regime may lose predictive power.</w:t>
      </w:r>
    </w:p>
    <w:p w14:paraId="41F8A2EA" w14:textId="77777777" w:rsidR="00A35672" w:rsidRDefault="00000000">
      <w:pPr>
        <w:spacing w:after="80"/>
        <w:ind w:left="360"/>
      </w:pPr>
      <w:r>
        <w:t xml:space="preserve">5. </w:t>
      </w:r>
      <w:r>
        <w:rPr>
          <w:b/>
        </w:rPr>
        <w:t>Class imbalance.</w:t>
      </w:r>
      <w:r>
        <w:t xml:space="preserve"> Both models learn to predict “Up” almost exclusively. Class weights or a different decision threshold could improve recall for “Down” days, but this was not explored in the current models.</w:t>
      </w:r>
    </w:p>
    <w:p w14:paraId="7A8ECC30" w14:textId="77777777" w:rsidR="00A35672" w:rsidRDefault="00000000">
      <w:pPr>
        <w:pStyle w:val="Heading1"/>
      </w:pPr>
      <w:r>
        <w:t>Conclusion</w:t>
      </w:r>
    </w:p>
    <w:p w14:paraId="533C3DD4" w14:textId="77777777" w:rsidR="00A35672" w:rsidRDefault="00000000">
      <w:r>
        <w:t>We trained and evaluated two classification models — a decision tree and a logistic regression — to predict next-day stock direction for S&amp;P 500 constituents using 18 features derived from price, volume, macroeconomic indicators, and news sentiment. Neither model outperformed the trivial "Always Up" baseline (52.23% accuracy) on the 2023–2026 test set, with the decision tree reaching 51.7% and logistic regression 51.8%.</w:t>
      </w:r>
    </w:p>
    <w:p w14:paraId="491CD98A" w14:textId="77777777" w:rsidR="00A35672" w:rsidRDefault="00000000">
      <w:r>
        <w:t>This result is consistent with the efficient market hypothesis for short-term price prediction and highlights that even a rich feature set spanning technical, macro, and sentiment signals provides minimal edge over naive rules.</w:t>
      </w:r>
    </w:p>
    <w:p w14:paraId="72D24FB5" w14:textId="77777777" w:rsidR="00A35672" w:rsidRDefault="00000000">
      <w:r>
        <w:t>Future work could include: (1) applying tree ensemble methods (Random Forest, XGBoost) which can model non-linear feature interactions more robustly; (2) enriching news coverage beyond the 2016–2020 Kaggle dataset to provide sentiment signals in the test period; (3) addressing class imbalance explicitly; and (4) narrowing the prediction task to specific sectors or market regimes where the signal-to-noise ratio may be higher.</w:t>
      </w:r>
    </w:p>
    <w:p w14:paraId="0948C506" w14:textId="77777777" w:rsidR="00A35672" w:rsidRDefault="00000000">
      <w:pPr>
        <w:pStyle w:val="Heading1"/>
      </w:pPr>
      <w:r>
        <w:t>References</w:t>
      </w:r>
    </w:p>
    <w:p w14:paraId="47BB2ACE" w14:textId="77777777" w:rsidR="00A35672" w:rsidRDefault="00000000">
      <w:pPr>
        <w:spacing w:after="100"/>
        <w:ind w:left="720" w:hanging="720"/>
      </w:pPr>
      <w:r>
        <w:t>1. Yang, Z. et al. (2020). "FinBERT: A Pretrained Language Model for Financial Communications." arXiv:2006.08097.</w:t>
      </w:r>
    </w:p>
    <w:p w14:paraId="72660071" w14:textId="77777777" w:rsidR="00A35672" w:rsidRDefault="00000000">
      <w:pPr>
        <w:spacing w:after="100"/>
        <w:ind w:left="720" w:hanging="720"/>
      </w:pPr>
      <w:r>
        <w:t>2. Kaggle: "Massive Stock News Analysis DB for NLP/Backtests" by miguelaenlle.</w:t>
      </w:r>
    </w:p>
    <w:p w14:paraId="4E2BE690" w14:textId="77777777" w:rsidR="00A35672" w:rsidRDefault="00000000">
      <w:pPr>
        <w:spacing w:after="100"/>
        <w:ind w:left="720" w:hanging="720"/>
      </w:pPr>
      <w:r>
        <w:t>3. yfinance Python library: https://github.com/ranaroussi/yfinance</w:t>
      </w:r>
    </w:p>
    <w:p w14:paraId="0538F15E" w14:textId="77777777" w:rsidR="00A35672" w:rsidRDefault="00000000">
      <w:pPr>
        <w:spacing w:after="100"/>
        <w:ind w:left="720" w:hanging="720"/>
      </w:pPr>
      <w:r>
        <w:t>4. Pedregosa et al. (2011). scikit-learn: Machine Learning in Python. JMLR, 12, 2825–2830.</w:t>
      </w:r>
    </w:p>
    <w:p w14:paraId="74904876" w14:textId="77777777" w:rsidR="00A35672" w:rsidRDefault="00000000">
      <w:pPr>
        <w:pStyle w:val="Heading1"/>
      </w:pPr>
      <w:r>
        <w:t>Appendix A: QC Checklist</w:t>
      </w:r>
    </w:p>
    <w:p w14:paraId="5E38C23D" w14:textId="77777777" w:rsidR="00A35672" w:rsidRDefault="00000000">
      <w:pPr>
        <w:spacing w:before="120" w:after="40"/>
      </w:pPr>
      <w:r>
        <w:rPr>
          <w:b/>
        </w:rPr>
        <w:t>Data and claims</w:t>
      </w:r>
    </w:p>
    <w:p w14:paraId="4280833D" w14:textId="77777777" w:rsidR="00A35672" w:rsidRDefault="00000000">
      <w:pPr>
        <w:spacing w:after="60"/>
        <w:ind w:left="360"/>
      </w:pPr>
      <w:r>
        <w:t>☑ Each column’s meaning is documented in scripts/merge_all.py and the EDA notebook.</w:t>
      </w:r>
    </w:p>
    <w:p w14:paraId="57379646" w14:textId="77777777" w:rsidR="00A35672" w:rsidRDefault="00000000">
      <w:pPr>
        <w:spacing w:after="60"/>
        <w:ind w:left="360"/>
      </w:pPr>
      <w:r>
        <w:t>☑ All statistics in this report are produced by code in the notebooks.</w:t>
      </w:r>
    </w:p>
    <w:p w14:paraId="0A8CD07A" w14:textId="77777777" w:rsidR="00A35672" w:rsidRDefault="00000000">
      <w:pPr>
        <w:spacing w:after="60"/>
        <w:ind w:left="360"/>
      </w:pPr>
      <w:r>
        <w:t>☐ Citations above should be opened and verified before final submission.</w:t>
      </w:r>
    </w:p>
    <w:p w14:paraId="57269204" w14:textId="77777777" w:rsidR="00A35672" w:rsidRDefault="00000000">
      <w:pPr>
        <w:spacing w:before="160" w:after="40"/>
      </w:pPr>
      <w:r>
        <w:rPr>
          <w:b/>
        </w:rPr>
        <w:t>Splits and leakage</w:t>
      </w:r>
    </w:p>
    <w:p w14:paraId="7DBC780B" w14:textId="77777777" w:rsidR="00A35672" w:rsidRDefault="00000000">
      <w:pPr>
        <w:spacing w:after="60"/>
        <w:ind w:left="360"/>
      </w:pPr>
      <w:r>
        <w:t>☑ Time-based split at 2023-01-01 (no shuffling).</w:t>
      </w:r>
    </w:p>
    <w:p w14:paraId="425640F9" w14:textId="77777777" w:rsidR="00A35672" w:rsidRDefault="00000000">
      <w:pPr>
        <w:spacing w:after="60"/>
        <w:ind w:left="360"/>
      </w:pPr>
      <w:r>
        <w:t>☑ StandardScaler is fit on training data only.</w:t>
      </w:r>
    </w:p>
    <w:p w14:paraId="0207576B" w14:textId="77777777" w:rsidR="00A35672" w:rsidRDefault="00000000">
      <w:pPr>
        <w:spacing w:after="60"/>
        <w:ind w:left="360"/>
      </w:pPr>
      <w:r>
        <w:t>☐ Label-shuffle sanity check not yet performed — TODO before final submission.</w:t>
      </w:r>
    </w:p>
    <w:p w14:paraId="6EB157DE" w14:textId="77777777" w:rsidR="00A35672" w:rsidRDefault="00000000">
      <w:pPr>
        <w:spacing w:before="160" w:after="40"/>
      </w:pPr>
      <w:r>
        <w:rPr>
          <w:b/>
        </w:rPr>
        <w:t>Models and evaluation</w:t>
      </w:r>
    </w:p>
    <w:p w14:paraId="2484E21A" w14:textId="77777777" w:rsidR="00A35672" w:rsidRDefault="00000000">
      <w:pPr>
        <w:spacing w:after="60"/>
        <w:ind w:left="360"/>
      </w:pPr>
      <w:r>
        <w:t>☑ Four baselines defined and reported.</w:t>
      </w:r>
    </w:p>
    <w:p w14:paraId="18E2D2FE" w14:textId="77777777" w:rsidR="00A35672" w:rsidRDefault="00000000">
      <w:pPr>
        <w:spacing w:after="60"/>
        <w:ind w:left="360"/>
      </w:pPr>
      <w:r>
        <w:lastRenderedPageBreak/>
        <w:t>☑ Primary metric is accuracy (appropriate for near-balanced binary classification).</w:t>
      </w:r>
    </w:p>
    <w:p w14:paraId="50C5220E" w14:textId="77777777" w:rsidR="00A35672" w:rsidRDefault="00000000">
      <w:pPr>
        <w:spacing w:after="60"/>
        <w:ind w:left="360"/>
      </w:pPr>
      <w:r>
        <w:t>☑ Classification reports inspected; both models collapse to near-Always-Up behaviour.</w:t>
      </w:r>
    </w:p>
    <w:p w14:paraId="35B84D60" w14:textId="77777777" w:rsidR="00A35672" w:rsidRDefault="00000000">
      <w:pPr>
        <w:spacing w:before="160" w:after="40"/>
      </w:pPr>
      <w:r>
        <w:rPr>
          <w:b/>
        </w:rPr>
        <w:t>Reproducibility</w:t>
      </w:r>
    </w:p>
    <w:p w14:paraId="7A7D30FE" w14:textId="77777777" w:rsidR="00A35672" w:rsidRDefault="00000000">
      <w:pPr>
        <w:spacing w:after="60"/>
        <w:ind w:left="360"/>
      </w:pPr>
      <w:r>
        <w:t>☐ README with run instructions — TODO.</w:t>
      </w:r>
    </w:p>
    <w:p w14:paraId="2FCD674D" w14:textId="77777777" w:rsidR="00A35672" w:rsidRDefault="00000000">
      <w:pPr>
        <w:spacing w:after="60"/>
        <w:ind w:left="360"/>
      </w:pPr>
      <w:r>
        <w:t>☐ requirements.txt / environment.yml — TODO.</w:t>
      </w:r>
    </w:p>
    <w:p w14:paraId="7600C585" w14:textId="77777777" w:rsidR="00A35672" w:rsidRDefault="00000000">
      <w:pPr>
        <w:spacing w:after="60"/>
        <w:ind w:left="360"/>
      </w:pPr>
      <w:r>
        <w:t>☑ Random seeds set: random_state=42 in tree; RANDOM_SEED=42 in baselines.</w:t>
      </w:r>
    </w:p>
    <w:p w14:paraId="16A66346" w14:textId="77777777" w:rsidR="00A35672" w:rsidRDefault="00000000">
      <w:pPr>
        <w:pStyle w:val="Heading1"/>
      </w:pPr>
      <w:r>
        <w:t>Appendix B: AI Use Disclosure</w:t>
      </w:r>
    </w:p>
    <w:p w14:paraId="083B33BF" w14:textId="77777777" w:rsidR="00A35672" w:rsidRDefault="00000000">
      <w:pPr>
        <w:spacing w:after="80"/>
      </w:pPr>
      <w:r>
        <w:rPr>
          <w:b/>
        </w:rPr>
        <w:t xml:space="preserve">Tools used: </w:t>
      </w:r>
      <w:r>
        <w:t>Claude Code (Anthropic, claude-sonnet-4-6), [add any others used by teammates]</w:t>
      </w:r>
    </w:p>
    <w:p w14:paraId="623CEC85" w14:textId="77777777" w:rsidR="00A35672" w:rsidRDefault="00000000">
      <w:r>
        <w:rPr>
          <w:b/>
        </w:rPr>
        <w:t xml:space="preserve">Dates used: </w:t>
      </w:r>
      <w:r>
        <w:t>[fill in]</w:t>
      </w:r>
    </w:p>
    <w:p w14:paraId="564A84C1" w14:textId="77777777" w:rsidR="00A35672" w:rsidRDefault="00000000">
      <w:pPr>
        <w:spacing w:before="80" w:after="40"/>
      </w:pPr>
      <w:r>
        <w:rPr>
          <w:b/>
        </w:rPr>
        <w:t>How AI was used:</w:t>
      </w:r>
    </w:p>
    <w:p w14:paraId="03D3C32C" w14:textId="77777777" w:rsidR="00A35672" w:rsidRDefault="00000000">
      <w:pPr>
        <w:spacing w:after="60"/>
        <w:ind w:left="360"/>
      </w:pPr>
      <w:r>
        <w:t>☑ Code generation — scripts/main.py, scripts/merge_all.py, scripts/rolling_data.py, scripts/sentiment_analysis.py, and notebook scaffolding.</w:t>
      </w:r>
    </w:p>
    <w:p w14:paraId="6DF32767" w14:textId="77777777" w:rsidR="00A35672" w:rsidRDefault="00000000">
      <w:pPr>
        <w:spacing w:after="60"/>
        <w:ind w:left="360"/>
      </w:pPr>
      <w:r>
        <w:t>☑ Debugging — pipeline issues with yfinance MultiIndex columns, FinBERT batching errors.</w:t>
      </w:r>
    </w:p>
    <w:p w14:paraId="243B9201" w14:textId="77777777" w:rsidR="00A35672" w:rsidRDefault="00000000">
      <w:pPr>
        <w:spacing w:after="60"/>
        <w:ind w:left="360"/>
      </w:pPr>
      <w:r>
        <w:t>☑ Writing/editing — this draft report.</w:t>
      </w:r>
    </w:p>
    <w:p w14:paraId="1C5D064F" w14:textId="77777777" w:rsidR="00A35672" w:rsidRDefault="00000000">
      <w:pPr>
        <w:spacing w:after="60"/>
        <w:ind w:left="360"/>
      </w:pPr>
      <w:r>
        <w:t>☐ Idea generation — [describe if applicable]</w:t>
      </w:r>
    </w:p>
    <w:p w14:paraId="37C7C54A" w14:textId="77777777" w:rsidR="00A35672" w:rsidRDefault="00000000">
      <w:pPr>
        <w:spacing w:before="160" w:after="40"/>
      </w:pPr>
      <w:r>
        <w:rPr>
          <w:b/>
        </w:rPr>
        <w:t>What we verified:</w:t>
      </w:r>
    </w:p>
    <w:p w14:paraId="05E87164" w14:textId="77777777" w:rsidR="00A35672" w:rsidRDefault="00000000">
      <w:pPr>
        <w:spacing w:after="60"/>
        <w:ind w:left="360"/>
      </w:pPr>
      <w:r>
        <w:t xml:space="preserve">• </w:t>
      </w:r>
      <w:r>
        <w:rPr>
          <w:b/>
        </w:rPr>
        <w:t>Baseline model built and compared:</w:t>
      </w:r>
      <w:r>
        <w:t xml:space="preserve"> Yes (see baselines notebook).</w:t>
      </w:r>
    </w:p>
    <w:p w14:paraId="4152C412" w14:textId="77777777" w:rsidR="00A35672" w:rsidRDefault="00000000">
      <w:pPr>
        <w:spacing w:after="60"/>
        <w:ind w:left="360"/>
      </w:pPr>
      <w:r>
        <w:t xml:space="preserve">• </w:t>
      </w:r>
      <w:r>
        <w:rPr>
          <w:b/>
        </w:rPr>
        <w:t>Leakage checks performed:</w:t>
      </w:r>
      <w:r>
        <w:t xml:space="preserve"> Partial — scaler fit on train only confirmed; label-shuffle test pending.</w:t>
      </w:r>
    </w:p>
    <w:p w14:paraId="1F38CFF7" w14:textId="77777777" w:rsidR="00A35672" w:rsidRDefault="00000000">
      <w:pPr>
        <w:spacing w:after="60"/>
        <w:ind w:left="360"/>
      </w:pPr>
      <w:r>
        <w:t xml:space="preserve">• </w:t>
      </w:r>
      <w:r>
        <w:rPr>
          <w:b/>
        </w:rPr>
        <w:t>Citations verified:</w:t>
      </w:r>
      <w:r>
        <w:t xml:space="preserve"> Pending — must be completed before final submission.</w:t>
      </w:r>
    </w:p>
    <w:p w14:paraId="618F0002" w14:textId="77777777" w:rsidR="00A35672" w:rsidRDefault="00000000">
      <w:pPr>
        <w:spacing w:after="60"/>
        <w:ind w:left="360"/>
      </w:pPr>
      <w:r>
        <w:t xml:space="preserve">• </w:t>
      </w:r>
      <w:r>
        <w:rPr>
          <w:b/>
        </w:rPr>
        <w:t>Reproducibility:</w:t>
      </w:r>
      <w:r>
        <w:t xml:space="preserve"> Pending — README and requirements.txt not yet written.</w:t>
      </w:r>
    </w:p>
    <w:p w14:paraId="46003F4B" w14:textId="77777777" w:rsidR="00A35672" w:rsidRDefault="00000000">
      <w:pPr>
        <w:spacing w:before="160" w:after="40"/>
      </w:pPr>
      <w:r>
        <w:rPr>
          <w:b/>
        </w:rPr>
        <w:t>One example of an AI mistake we caught:</w:t>
      </w:r>
    </w:p>
    <w:p w14:paraId="1288EFAC" w14:textId="77777777" w:rsidR="00A35672" w:rsidRDefault="00000000">
      <w:pPr>
        <w:spacing w:after="60"/>
        <w:ind w:left="360"/>
      </w:pPr>
      <w:r>
        <w:t xml:space="preserve">• </w:t>
      </w:r>
      <w:r>
        <w:rPr>
          <w:b/>
        </w:rPr>
        <w:t>What AI suggested:</w:t>
      </w:r>
      <w:r>
        <w:t xml:space="preserve"> [fill in a real example from your workflow]</w:t>
      </w:r>
    </w:p>
    <w:p w14:paraId="2A5F61A4" w14:textId="77777777" w:rsidR="00A35672" w:rsidRDefault="00000000">
      <w:pPr>
        <w:spacing w:after="60"/>
        <w:ind w:left="360"/>
      </w:pPr>
      <w:r>
        <w:t xml:space="preserve">• </w:t>
      </w:r>
      <w:r>
        <w:rPr>
          <w:b/>
        </w:rPr>
        <w:t>Why it was wrong / risky:</w:t>
      </w:r>
      <w:r>
        <w:t xml:space="preserve"> [explain]</w:t>
      </w:r>
    </w:p>
    <w:p w14:paraId="2831A759" w14:textId="77777777" w:rsidR="00A35672" w:rsidRDefault="00000000">
      <w:pPr>
        <w:spacing w:after="60"/>
        <w:ind w:left="360"/>
      </w:pPr>
      <w:r>
        <w:t xml:space="preserve">• </w:t>
      </w:r>
      <w:r>
        <w:rPr>
          <w:b/>
        </w:rPr>
        <w:t>What we did instead:</w:t>
      </w:r>
      <w:r>
        <w:t xml:space="preserve"> [explain]</w:t>
      </w:r>
    </w:p>
    <w:sectPr w:rsidR="00A356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0746980">
    <w:abstractNumId w:val="8"/>
  </w:num>
  <w:num w:numId="2" w16cid:durableId="323627454">
    <w:abstractNumId w:val="6"/>
  </w:num>
  <w:num w:numId="3" w16cid:durableId="873464751">
    <w:abstractNumId w:val="5"/>
  </w:num>
  <w:num w:numId="4" w16cid:durableId="1682781891">
    <w:abstractNumId w:val="4"/>
  </w:num>
  <w:num w:numId="5" w16cid:durableId="1001276068">
    <w:abstractNumId w:val="7"/>
  </w:num>
  <w:num w:numId="6" w16cid:durableId="671878467">
    <w:abstractNumId w:val="3"/>
  </w:num>
  <w:num w:numId="7" w16cid:durableId="1831094868">
    <w:abstractNumId w:val="2"/>
  </w:num>
  <w:num w:numId="8" w16cid:durableId="374473472">
    <w:abstractNumId w:val="1"/>
  </w:num>
  <w:num w:numId="9" w16cid:durableId="208568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EE8"/>
    <w:rsid w:val="00326F90"/>
    <w:rsid w:val="0090593A"/>
    <w:rsid w:val="00A356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8EFEEC"/>
  <w14:defaultImageDpi w14:val="300"/>
  <w15:docId w15:val="{39AB7238-0273-0440-A8B3-56E75B04B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0" w:lineRule="exact"/>
    </w:pPr>
    <w:rPr>
      <w:rFonts w:ascii="Calibri" w:hAnsi="Calibri"/>
      <w:sz w:val="24"/>
    </w:rPr>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1530</Words>
  <Characters>8727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Anisimov, Alex</cp:lastModifiedBy>
  <cp:revision>2</cp:revision>
  <dcterms:created xsi:type="dcterms:W3CDTF">2013-12-23T23:15:00Z</dcterms:created>
  <dcterms:modified xsi:type="dcterms:W3CDTF">2026-02-18T21:39:00Z</dcterms:modified>
  <cp:category/>
</cp:coreProperties>
</file>