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69ed80eecd553b99fe01913e72613b6510343f0"/>
    <w:p>
      <w:pPr>
        <w:pStyle w:val="Heading1"/>
      </w:pPr>
      <w:r>
        <w:t xml:space="preserve">Grant Reviewing MCP Agent: Comprehensive Documentation</w:t>
      </w:r>
    </w:p>
    <w:p>
      <w:pPr>
        <w:pStyle w:val="FirstParagraph"/>
      </w:pPr>
      <w:r>
        <w:rPr>
          <w:bCs/>
          <w:b/>
        </w:rPr>
        <w:t xml:space="preserve">Author:</w:t>
      </w:r>
      <w:r>
        <w:t xml:space="preserve"> </w:t>
      </w:r>
      <w:r>
        <w:t xml:space="preserve">MiniMax Agent</w:t>
      </w:r>
      <w:r>
        <w:t xml:space="preserve"> </w:t>
      </w:r>
      <w:r>
        <w:rPr>
          <w:bCs/>
          <w:b/>
        </w:rPr>
        <w:t xml:space="preserve">Version:</w:t>
      </w:r>
      <w:r>
        <w:t xml:space="preserve"> </w:t>
      </w:r>
      <w:r>
        <w:t xml:space="preserve">1.0.0</w:t>
      </w:r>
      <w:r>
        <w:t xml:space="preserve"> </w:t>
      </w:r>
      <w:r>
        <w:rPr>
          <w:bCs/>
          <w:b/>
        </w:rPr>
        <w:t xml:space="preserve">Date:</w:t>
      </w:r>
      <w:r>
        <w:t xml:space="preserve"> </w:t>
      </w:r>
      <w:r>
        <w:t xml:space="preserve">2025-07-21</w:t>
      </w:r>
    </w:p>
    <w:p>
      <w:r>
        <w:pict>
          <v:rect style="width:0;height:1.5pt" o:hralign="center" o:hrstd="t" o:hr="t"/>
        </w:pict>
      </w:r>
    </w:p>
    <w:bookmarkStart w:id="23" w:name="executive-summary"/>
    <w:p>
      <w:pPr>
        <w:pStyle w:val="Heading2"/>
      </w:pPr>
      <w:r>
        <w:t xml:space="preserve">1. Executive Summary</w:t>
      </w:r>
    </w:p>
    <w:p>
      <w:pPr>
        <w:pStyle w:val="FirstParagraph"/>
      </w:pPr>
      <w:r>
        <w:t xml:space="preserve">This document provides comprehensive documentation for the Grant Reviewing MCP Agent, an autonomous AI system designed to evaluate federal health grant applications from agencies such as the Health Resources and Services Administration (HRSA) and the Substance Abuse and Mental Health Services Administration (SAMHSA). The agent was developed to enhance the grant review process by providing rigorous, fair, and transparent evaluations, thereby improving efficiency and decision-making quality.</w:t>
      </w:r>
    </w:p>
    <w:bookmarkStart w:id="20" w:name="project-objectives"/>
    <w:p>
      <w:pPr>
        <w:pStyle w:val="Heading3"/>
      </w:pPr>
      <w:r>
        <w:t xml:space="preserve">1.1 Project Objectives</w:t>
      </w:r>
    </w:p>
    <w:p>
      <w:pPr>
        <w:pStyle w:val="FirstParagraph"/>
      </w:pPr>
      <w:r>
        <w:t xml:space="preserve">The primary objective of this project was to create a sophisticated MCP agent capable of:</w:t>
      </w:r>
    </w:p>
    <w:p>
      <w:pPr>
        <w:numPr>
          <w:ilvl w:val="0"/>
          <w:numId w:val="1001"/>
        </w:numPr>
        <w:pStyle w:val="Compact"/>
      </w:pPr>
      <w:r>
        <w:rPr>
          <w:bCs/>
          <w:b/>
        </w:rPr>
        <w:t xml:space="preserve">Automating Evaluation:</w:t>
      </w:r>
      <w:r>
        <w:t xml:space="preserve"> </w:t>
      </w:r>
      <w:r>
        <w:t xml:space="preserve">Autonomously reviewing and scoring grant applications based on agency-specific criteria.</w:t>
      </w:r>
    </w:p>
    <w:p>
      <w:pPr>
        <w:numPr>
          <w:ilvl w:val="0"/>
          <w:numId w:val="1001"/>
        </w:numPr>
        <w:pStyle w:val="Compact"/>
      </w:pPr>
      <w:r>
        <w:rPr>
          <w:bCs/>
          <w:b/>
        </w:rPr>
        <w:t xml:space="preserve">Ensuring Fairness:</w:t>
      </w:r>
      <w:r>
        <w:t xml:space="preserve"> </w:t>
      </w:r>
      <w:r>
        <w:t xml:space="preserve">Implementing bias mitigation protocols to ensure equitable assessments.</w:t>
      </w:r>
    </w:p>
    <w:p>
      <w:pPr>
        <w:numPr>
          <w:ilvl w:val="0"/>
          <w:numId w:val="1001"/>
        </w:numPr>
        <w:pStyle w:val="Compact"/>
      </w:pPr>
      <w:r>
        <w:rPr>
          <w:bCs/>
          <w:b/>
        </w:rPr>
        <w:t xml:space="preserve">Improving Efficiency:</w:t>
      </w:r>
      <w:r>
        <w:t xml:space="preserve"> </w:t>
      </w:r>
      <w:r>
        <w:t xml:space="preserve">Reducing the time and effort required for manual grant reviews.</w:t>
      </w:r>
    </w:p>
    <w:p>
      <w:pPr>
        <w:numPr>
          <w:ilvl w:val="0"/>
          <w:numId w:val="1001"/>
        </w:numPr>
        <w:pStyle w:val="Compact"/>
      </w:pPr>
      <w:r>
        <w:rPr>
          <w:bCs/>
          <w:b/>
        </w:rPr>
        <w:t xml:space="preserve">Enhancing Quality:</w:t>
      </w:r>
      <w:r>
        <w:t xml:space="preserve"> </w:t>
      </w:r>
      <w:r>
        <w:t xml:space="preserve">Providing detailed, evidence-based feedback to support robust funding decisions.</w:t>
      </w:r>
    </w:p>
    <w:bookmarkEnd w:id="20"/>
    <w:bookmarkStart w:id="21" w:name="key-capabilities"/>
    <w:p>
      <w:pPr>
        <w:pStyle w:val="Heading3"/>
      </w:pPr>
      <w:r>
        <w:t xml:space="preserve">1.2 Key Capabilities</w:t>
      </w:r>
    </w:p>
    <w:p>
      <w:pPr>
        <w:pStyle w:val="FirstParagraph"/>
      </w:pPr>
      <w:r>
        <w:t xml:space="preserve">The Grant Reviewing MCP Agent offers a suite of powerful tools and features:</w:t>
      </w:r>
    </w:p>
    <w:p>
      <w:pPr>
        <w:numPr>
          <w:ilvl w:val="0"/>
          <w:numId w:val="1002"/>
        </w:numPr>
        <w:pStyle w:val="Compact"/>
      </w:pPr>
      <w:r>
        <w:rPr>
          <w:bCs/>
          <w:b/>
        </w:rPr>
        <w:t xml:space="preserve">Multi-format Document Processing:</w:t>
      </w:r>
      <w:r>
        <w:t xml:space="preserve"> </w:t>
      </w:r>
      <w:r>
        <w:t xml:space="preserve">Natively handles both PDF and Word application formats.</w:t>
      </w:r>
    </w:p>
    <w:p>
      <w:pPr>
        <w:numPr>
          <w:ilvl w:val="0"/>
          <w:numId w:val="1002"/>
        </w:numPr>
        <w:pStyle w:val="Compact"/>
      </w:pPr>
      <w:r>
        <w:rPr>
          <w:bCs/>
          <w:b/>
        </w:rPr>
        <w:t xml:space="preserve">Agency-Specific Frameworks:</w:t>
      </w:r>
      <w:r>
        <w:t xml:space="preserve"> </w:t>
      </w:r>
      <w:r>
        <w:t xml:space="preserve">Incorporates detailed evaluation criteria and scoring rubrics for both HRSA and SAMHSA.</w:t>
      </w:r>
    </w:p>
    <w:p>
      <w:pPr>
        <w:numPr>
          <w:ilvl w:val="0"/>
          <w:numId w:val="1002"/>
        </w:numPr>
        <w:pStyle w:val="Compact"/>
      </w:pPr>
      <w:r>
        <w:rPr>
          <w:bCs/>
          <w:b/>
        </w:rPr>
        <w:t xml:space="preserve">Professional Comment Generation:</w:t>
      </w:r>
      <w:r>
        <w:t xml:space="preserve"> </w:t>
      </w:r>
      <w:r>
        <w:t xml:space="preserve">Creates high-quality strength, weakness, and</w:t>
      </w:r>
      <w:r>
        <w:t xml:space="preserve"> </w:t>
      </w:r>
      <w:r>
        <w:t xml:space="preserve">“</w:t>
      </w:r>
      <w:r>
        <w:t xml:space="preserve">met</w:t>
      </w:r>
      <w:r>
        <w:t xml:space="preserve">”</w:t>
      </w:r>
      <w:r>
        <w:t xml:space="preserve"> </w:t>
      </w:r>
      <w:r>
        <w:t xml:space="preserve">comments with precise page references.</w:t>
      </w:r>
    </w:p>
    <w:p>
      <w:pPr>
        <w:numPr>
          <w:ilvl w:val="0"/>
          <w:numId w:val="1002"/>
        </w:numPr>
        <w:pStyle w:val="Compact"/>
      </w:pPr>
      <w:r>
        <w:rPr>
          <w:bCs/>
          <w:b/>
        </w:rPr>
        <w:t xml:space="preserve">Automated Worksheet Completion:</w:t>
      </w:r>
      <w:r>
        <w:t xml:space="preserve"> </w:t>
      </w:r>
      <w:r>
        <w:t xml:space="preserve">Generates fully populated reviewer worksheets ready for submission.</w:t>
      </w:r>
    </w:p>
    <w:p>
      <w:pPr>
        <w:numPr>
          <w:ilvl w:val="0"/>
          <w:numId w:val="1002"/>
        </w:numPr>
        <w:pStyle w:val="Compact"/>
      </w:pPr>
      <w:r>
        <w:rPr>
          <w:bCs/>
          <w:b/>
        </w:rPr>
        <w:t xml:space="preserve">Quality Assurance:</w:t>
      </w:r>
      <w:r>
        <w:t xml:space="preserve"> </w:t>
      </w:r>
      <w:r>
        <w:t xml:space="preserve">Includes built-in protocols for bias mitigation, transparency, and human oversight.</w:t>
      </w:r>
    </w:p>
    <w:bookmarkEnd w:id="21"/>
    <w:bookmarkStart w:id="22" w:name="technical-innovation"/>
    <w:p>
      <w:pPr>
        <w:pStyle w:val="Heading3"/>
      </w:pPr>
      <w:r>
        <w:t xml:space="preserve">1.3 Technical Innovation</w:t>
      </w:r>
    </w:p>
    <w:p>
      <w:pPr>
        <w:pStyle w:val="FirstParagraph"/>
      </w:pPr>
      <w:r>
        <w:t xml:space="preserve">This agent represents a significant advancement in grant review automation. By combining advanced document analysis with nuanced evaluation logic, it simulates the critical thinking of an expert human reviewer. Its modular design and MCP-based architecture ensure seamless integration and future extensibility, making it a powerful tool for modernizing the grant lifecycle.</w:t>
      </w:r>
    </w:p>
    <w:p>
      <w:r>
        <w:pict>
          <v:rect style="width:0;height:1.5pt" o:hralign="center" o:hrstd="t" o:hr="t"/>
        </w:pict>
      </w:r>
    </w:p>
    <w:bookmarkEnd w:id="22"/>
    <w:bookmarkEnd w:id="23"/>
    <w:bookmarkStart w:id="27" w:name="system-overview"/>
    <w:p>
      <w:pPr>
        <w:pStyle w:val="Heading2"/>
      </w:pPr>
      <w:r>
        <w:t xml:space="preserve">2. System Overview</w:t>
      </w:r>
    </w:p>
    <w:bookmarkStart w:id="24" w:name="architecture-and-design"/>
    <w:p>
      <w:pPr>
        <w:pStyle w:val="Heading3"/>
      </w:pPr>
      <w:r>
        <w:t xml:space="preserve">2.1 Architecture and Design</w:t>
      </w:r>
    </w:p>
    <w:p>
      <w:pPr>
        <w:pStyle w:val="FirstParagraph"/>
      </w:pPr>
      <w:r>
        <w:t xml:space="preserve">The Grant Reviewing MCP Agent is built on a modular, service-oriented architecture. It leverages the Model Context Protocol (MCP) to expose its capabilities as a set of callable tools. This design ensures that the agent is both powerful and easy to integrate with other systems, such as workflow automation platforms or custom review dashboards.</w:t>
      </w:r>
    </w:p>
    <w:bookmarkEnd w:id="24"/>
    <w:bookmarkStart w:id="25" w:name="core-components"/>
    <w:p>
      <w:pPr>
        <w:pStyle w:val="Heading3"/>
      </w:pPr>
      <w:r>
        <w:t xml:space="preserve">2.2 Core Components</w:t>
      </w:r>
    </w:p>
    <w:p>
      <w:pPr>
        <w:pStyle w:val="FirstParagraph"/>
      </w:pPr>
      <w:r>
        <w:t xml:space="preserve">The agent is comprised of five core components:</w:t>
      </w:r>
    </w:p>
    <w:p>
      <w:pPr>
        <w:numPr>
          <w:ilvl w:val="0"/>
          <w:numId w:val="1003"/>
        </w:numPr>
        <w:pStyle w:val="Compact"/>
      </w:pPr>
      <w:r>
        <w:rPr>
          <w:bCs/>
          <w:b/>
        </w:rPr>
        <w:t xml:space="preserve">DocumentProcessor:</w:t>
      </w:r>
      <w:r>
        <w:t xml:space="preserve"> </w:t>
      </w:r>
      <w:r>
        <w:t xml:space="preserve">Responsible for ingesting and analyzing grant application documents. It extracts text, metadata, and structural information from PDF and Word files.</w:t>
      </w:r>
    </w:p>
    <w:p>
      <w:pPr>
        <w:numPr>
          <w:ilvl w:val="0"/>
          <w:numId w:val="1003"/>
        </w:numPr>
        <w:pStyle w:val="Compact"/>
      </w:pPr>
      <w:r>
        <w:rPr>
          <w:bCs/>
          <w:b/>
        </w:rPr>
        <w:t xml:space="preserve">GrantEvaluator:</w:t>
      </w:r>
      <w:r>
        <w:t xml:space="preserve"> </w:t>
      </w:r>
      <w:r>
        <w:t xml:space="preserve">Contains the core logic for evaluating applications against agency-specific frameworks. It assesses criteria such as program feasibility, community impact, and organizational capacity.</w:t>
      </w:r>
    </w:p>
    <w:p>
      <w:pPr>
        <w:numPr>
          <w:ilvl w:val="0"/>
          <w:numId w:val="1003"/>
        </w:numPr>
        <w:pStyle w:val="Compact"/>
      </w:pPr>
      <w:r>
        <w:rPr>
          <w:bCs/>
          <w:b/>
        </w:rPr>
        <w:t xml:space="preserve">ScoringEngine:</w:t>
      </w:r>
      <w:r>
        <w:t xml:space="preserve"> </w:t>
      </w:r>
      <w:r>
        <w:t xml:space="preserve">Implements the quantitative scoring rubrics for HRSA and SAMHSA. It calculates scores based on the evaluator’s findings and provides clear justifications.</w:t>
      </w:r>
    </w:p>
    <w:p>
      <w:pPr>
        <w:numPr>
          <w:ilvl w:val="0"/>
          <w:numId w:val="1003"/>
        </w:numPr>
        <w:pStyle w:val="Compact"/>
      </w:pPr>
      <w:r>
        <w:rPr>
          <w:bCs/>
          <w:b/>
        </w:rPr>
        <w:t xml:space="preserve">CommentGenerator:</w:t>
      </w:r>
      <w:r>
        <w:t xml:space="preserve"> </w:t>
      </w:r>
      <w:r>
        <w:t xml:space="preserve">Generates professional, bias-free comments that adhere to federal guidelines. It uses templates and contextual information to create meaningful feedback.</w:t>
      </w:r>
    </w:p>
    <w:p>
      <w:pPr>
        <w:numPr>
          <w:ilvl w:val="0"/>
          <w:numId w:val="1003"/>
        </w:numPr>
        <w:pStyle w:val="Compact"/>
      </w:pPr>
      <w:r>
        <w:rPr>
          <w:bCs/>
          <w:b/>
        </w:rPr>
        <w:t xml:space="preserve">ReportGenerator:</w:t>
      </w:r>
      <w:r>
        <w:t xml:space="preserve"> </w:t>
      </w:r>
      <w:r>
        <w:t xml:space="preserve">Assembles the final reviewer worksheet, combining scores, comments, and other evaluation data into a comprehensive report.</w:t>
      </w:r>
    </w:p>
    <w:bookmarkEnd w:id="25"/>
    <w:bookmarkStart w:id="26" w:name="integration-capabilities"/>
    <w:p>
      <w:pPr>
        <w:pStyle w:val="Heading3"/>
      </w:pPr>
      <w:r>
        <w:t xml:space="preserve">2.3 Integration Capabilities</w:t>
      </w:r>
    </w:p>
    <w:p>
      <w:pPr>
        <w:pStyle w:val="FirstParagraph"/>
      </w:pPr>
      <w:r>
        <w:t xml:space="preserve">As an MCP-compliant server, the agent can be easily integrated into any environment that supports the protocol. This includes development environments, workflow automation tools, and custom applications. The server is self-contained and manages its own dependencies, simplifying deployment and setup.</w:t>
      </w:r>
    </w:p>
    <w:p>
      <w:r>
        <w:pict>
          <v:rect style="width:0;height:1.5pt" o:hralign="center" o:hrstd="t" o:hr="t"/>
        </w:pict>
      </w:r>
    </w:p>
    <w:bookmarkEnd w:id="26"/>
    <w:bookmarkEnd w:id="27"/>
    <w:bookmarkStart w:id="31" w:name="usage-guidelines"/>
    <w:p>
      <w:pPr>
        <w:pStyle w:val="Heading2"/>
      </w:pPr>
      <w:r>
        <w:t xml:space="preserve">3. Usage Guidelines</w:t>
      </w:r>
    </w:p>
    <w:bookmarkStart w:id="28" w:name="step-by-step-grant-evaluation"/>
    <w:p>
      <w:pPr>
        <w:pStyle w:val="Heading3"/>
      </w:pPr>
      <w:r>
        <w:t xml:space="preserve">3.1 Step-by-Step Grant Evaluation</w:t>
      </w:r>
    </w:p>
    <w:p>
      <w:pPr>
        <w:pStyle w:val="FirstParagraph"/>
      </w:pPr>
      <w:r>
        <w:t xml:space="preserve">A typical grant evaluation workflow involves the following steps:</w:t>
      </w:r>
    </w:p>
    <w:p>
      <w:pPr>
        <w:numPr>
          <w:ilvl w:val="0"/>
          <w:numId w:val="1004"/>
        </w:numPr>
        <w:pStyle w:val="Compact"/>
      </w:pPr>
      <w:r>
        <w:rPr>
          <w:bCs/>
          <w:b/>
        </w:rPr>
        <w:t xml:space="preserve">Process the Application:</w:t>
      </w:r>
      <w:r>
        <w:t xml:space="preserve"> </w:t>
      </w:r>
      <w:r>
        <w:t xml:space="preserve">Begin by using the</w:t>
      </w:r>
      <w:r>
        <w:t xml:space="preserve"> </w:t>
      </w:r>
      <w:r>
        <w:rPr>
          <w:rStyle w:val="VerbatimChar"/>
        </w:rPr>
        <w:t xml:space="preserve">process_grant_application</w:t>
      </w:r>
      <w:r>
        <w:t xml:space="preserve"> </w:t>
      </w:r>
      <w:r>
        <w:t xml:space="preserve">tool to analyze the application and its corresponding Notice of Funding Opportunity (NOFO).</w:t>
      </w:r>
    </w:p>
    <w:p>
      <w:pPr>
        <w:numPr>
          <w:ilvl w:val="0"/>
          <w:numId w:val="1004"/>
        </w:numPr>
        <w:pStyle w:val="Compact"/>
      </w:pPr>
      <w:r>
        <w:rPr>
          <w:bCs/>
          <w:b/>
        </w:rPr>
        <w:t xml:space="preserve">Generate Scores:</w:t>
      </w:r>
      <w:r>
        <w:t xml:space="preserve"> </w:t>
      </w:r>
      <w:r>
        <w:t xml:space="preserve">Use the</w:t>
      </w:r>
      <w:r>
        <w:t xml:space="preserve"> </w:t>
      </w:r>
      <w:r>
        <w:rPr>
          <w:rStyle w:val="VerbatimChar"/>
        </w:rPr>
        <w:t xml:space="preserve">score_grant_application</w:t>
      </w:r>
      <w:r>
        <w:t xml:space="preserve"> </w:t>
      </w:r>
      <w:r>
        <w:t xml:space="preserve">tool to generate a quantitative score based on the appropriate agency rubric.</w:t>
      </w:r>
    </w:p>
    <w:p>
      <w:pPr>
        <w:numPr>
          <w:ilvl w:val="0"/>
          <w:numId w:val="1004"/>
        </w:numPr>
        <w:pStyle w:val="Compact"/>
      </w:pPr>
      <w:r>
        <w:rPr>
          <w:bCs/>
          <w:b/>
        </w:rPr>
        <w:t xml:space="preserve">Create Comments:</w:t>
      </w:r>
      <w:r>
        <w:t xml:space="preserve"> </w:t>
      </w:r>
      <w:r>
        <w:t xml:space="preserve">Use the</w:t>
      </w:r>
      <w:r>
        <w:t xml:space="preserve"> </w:t>
      </w:r>
      <w:r>
        <w:rPr>
          <w:rStyle w:val="VerbatimChar"/>
        </w:rPr>
        <w:t xml:space="preserve">generate_reviewer_comments</w:t>
      </w:r>
      <w:r>
        <w:t xml:space="preserve"> </w:t>
      </w:r>
      <w:r>
        <w:t xml:space="preserve">tool to create detailed strength, weakness, and</w:t>
      </w:r>
      <w:r>
        <w:t xml:space="preserve"> </w:t>
      </w:r>
      <w:r>
        <w:t xml:space="preserve">“</w:t>
      </w:r>
      <w:r>
        <w:t xml:space="preserve">met</w:t>
      </w:r>
      <w:r>
        <w:t xml:space="preserve">”</w:t>
      </w:r>
      <w:r>
        <w:t xml:space="preserve"> </w:t>
      </w:r>
      <w:r>
        <w:t xml:space="preserve">comments.</w:t>
      </w:r>
    </w:p>
    <w:p>
      <w:pPr>
        <w:numPr>
          <w:ilvl w:val="0"/>
          <w:numId w:val="1004"/>
        </w:numPr>
        <w:pStyle w:val="Compact"/>
      </w:pPr>
      <w:r>
        <w:rPr>
          <w:bCs/>
          <w:b/>
        </w:rPr>
        <w:t xml:space="preserve">Complete the Worksheet:</w:t>
      </w:r>
      <w:r>
        <w:t xml:space="preserve"> </w:t>
      </w:r>
      <w:r>
        <w:t xml:space="preserve">Finally, use the</w:t>
      </w:r>
      <w:r>
        <w:t xml:space="preserve"> </w:t>
      </w:r>
      <w:r>
        <w:rPr>
          <w:rStyle w:val="VerbatimChar"/>
        </w:rPr>
        <w:t xml:space="preserve">generate_reviewer_worksheet</w:t>
      </w:r>
      <w:r>
        <w:t xml:space="preserve"> </w:t>
      </w:r>
      <w:r>
        <w:t xml:space="preserve">tool to generate the final, comprehensive evaluation document.</w:t>
      </w:r>
    </w:p>
    <w:bookmarkEnd w:id="28"/>
    <w:bookmarkStart w:id="29" w:name="best-practices-for-evaluation-tools"/>
    <w:p>
      <w:pPr>
        <w:pStyle w:val="Heading3"/>
      </w:pPr>
      <w:r>
        <w:t xml:space="preserve">3.2 Best Practices for Evaluation Tools</w:t>
      </w:r>
    </w:p>
    <w:p>
      <w:pPr>
        <w:numPr>
          <w:ilvl w:val="0"/>
          <w:numId w:val="1005"/>
        </w:numPr>
        <w:pStyle w:val="Compact"/>
      </w:pPr>
      <w:r>
        <w:rPr>
          <w:rStyle w:val="VerbatimChar"/>
          <w:bCs/>
          <w:b/>
        </w:rPr>
        <w:t xml:space="preserve">process_grant_application</w:t>
      </w:r>
      <w:r>
        <w:rPr>
          <w:bCs/>
          <w:b/>
        </w:rPr>
        <w:t xml:space="preserve">:</w:t>
      </w:r>
      <w:r>
        <w:t xml:space="preserve"> </w:t>
      </w:r>
      <w:r>
        <w:t xml:space="preserve">Always provide both the application and NOFO file paths for the most accurate analysis.</w:t>
      </w:r>
    </w:p>
    <w:p>
      <w:pPr>
        <w:numPr>
          <w:ilvl w:val="0"/>
          <w:numId w:val="1005"/>
        </w:numPr>
        <w:pStyle w:val="Compact"/>
      </w:pPr>
      <w:r>
        <w:rPr>
          <w:rStyle w:val="VerbatimChar"/>
          <w:bCs/>
          <w:b/>
        </w:rPr>
        <w:t xml:space="preserve">score_grant_application</w:t>
      </w:r>
      <w:r>
        <w:rPr>
          <w:bCs/>
          <w:b/>
        </w:rPr>
        <w:t xml:space="preserve">:</w:t>
      </w:r>
      <w:r>
        <w:t xml:space="preserve"> </w:t>
      </w:r>
      <w:r>
        <w:t xml:space="preserve">Use the</w:t>
      </w:r>
      <w:r>
        <w:t xml:space="preserve"> </w:t>
      </w:r>
      <w:r>
        <w:rPr>
          <w:rStyle w:val="VerbatimChar"/>
        </w:rPr>
        <w:t xml:space="preserve">detailed</w:t>
      </w:r>
      <w:r>
        <w:t xml:space="preserve"> </w:t>
      </w:r>
      <w:r>
        <w:t xml:space="preserve">scoring method for a more granular breakdown of the score.</w:t>
      </w:r>
    </w:p>
    <w:p>
      <w:pPr>
        <w:numPr>
          <w:ilvl w:val="0"/>
          <w:numId w:val="1005"/>
        </w:numPr>
        <w:pStyle w:val="Compact"/>
      </w:pPr>
      <w:r>
        <w:rPr>
          <w:rStyle w:val="VerbatimChar"/>
          <w:bCs/>
          <w:b/>
        </w:rPr>
        <w:t xml:space="preserve">generate_reviewer_comments</w:t>
      </w:r>
      <w:r>
        <w:rPr>
          <w:bCs/>
          <w:b/>
        </w:rPr>
        <w:t xml:space="preserve">:</w:t>
      </w:r>
      <w:r>
        <w:t xml:space="preserve"> </w:t>
      </w:r>
      <w:r>
        <w:t xml:space="preserve">For applications requiring constructive feedback, use the</w:t>
      </w:r>
      <w:r>
        <w:t xml:space="preserve"> </w:t>
      </w:r>
      <w:r>
        <w:rPr>
          <w:rStyle w:val="VerbatimChar"/>
        </w:rPr>
        <w:t xml:space="preserve">constructive</w:t>
      </w:r>
      <w:r>
        <w:t xml:space="preserve"> </w:t>
      </w:r>
      <w:r>
        <w:t xml:space="preserve">comment style.</w:t>
      </w:r>
    </w:p>
    <w:p>
      <w:pPr>
        <w:numPr>
          <w:ilvl w:val="0"/>
          <w:numId w:val="1005"/>
        </w:numPr>
        <w:pStyle w:val="Compact"/>
      </w:pPr>
      <w:r>
        <w:rPr>
          <w:rStyle w:val="VerbatimChar"/>
          <w:bCs/>
          <w:b/>
        </w:rPr>
        <w:t xml:space="preserve">generate_reviewer_worksheet</w:t>
      </w:r>
      <w:r>
        <w:rPr>
          <w:bCs/>
          <w:b/>
        </w:rPr>
        <w:t xml:space="preserve">:</w:t>
      </w:r>
      <w:r>
        <w:t xml:space="preserve"> </w:t>
      </w:r>
      <w:r>
        <w:t xml:space="preserve">Select the</w:t>
      </w:r>
      <w:r>
        <w:t xml:space="preserve"> </w:t>
      </w:r>
      <w:r>
        <w:rPr>
          <w:rStyle w:val="VerbatimChar"/>
        </w:rPr>
        <w:t xml:space="preserve">comprehensive</w:t>
      </w:r>
      <w:r>
        <w:t xml:space="preserve"> </w:t>
      </w:r>
      <w:r>
        <w:t xml:space="preserve">output format to ensure all evaluation details are included.</w:t>
      </w:r>
    </w:p>
    <w:bookmarkEnd w:id="29"/>
    <w:bookmarkStart w:id="30" w:name="quality-assurance-recommendations"/>
    <w:p>
      <w:pPr>
        <w:pStyle w:val="Heading3"/>
      </w:pPr>
      <w:r>
        <w:t xml:space="preserve">3.3 Quality Assurance Recommendations</w:t>
      </w:r>
    </w:p>
    <w:p>
      <w:pPr>
        <w:pStyle w:val="FirstParagraph"/>
      </w:pPr>
      <w:r>
        <w:t xml:space="preserve">While the agent is designed to be highly accurate, human oversight is essential for ensuring the quality and fairness of final funding decisions. It is recommended to:</w:t>
      </w:r>
    </w:p>
    <w:p>
      <w:pPr>
        <w:numPr>
          <w:ilvl w:val="0"/>
          <w:numId w:val="1006"/>
        </w:numPr>
        <w:pStyle w:val="Compact"/>
      </w:pPr>
      <w:r>
        <w:rPr>
          <w:bCs/>
          <w:b/>
        </w:rPr>
        <w:t xml:space="preserve">Review AI-Generated Content:</w:t>
      </w:r>
      <w:r>
        <w:t xml:space="preserve"> </w:t>
      </w:r>
      <w:r>
        <w:t xml:space="preserve">Have a human expert review all generated scores and comments before finalizing the evaluation.</w:t>
      </w:r>
    </w:p>
    <w:p>
      <w:pPr>
        <w:numPr>
          <w:ilvl w:val="0"/>
          <w:numId w:val="1006"/>
        </w:numPr>
        <w:pStyle w:val="Compact"/>
      </w:pPr>
      <w:r>
        <w:rPr>
          <w:bCs/>
          <w:b/>
        </w:rPr>
        <w:t xml:space="preserve">Use as a Decision Support Tool:</w:t>
      </w:r>
      <w:r>
        <w:t xml:space="preserve"> </w:t>
      </w:r>
      <w:r>
        <w:t xml:space="preserve">Treat the agent as a powerful assistant that provides data-driven insights, not as a replacement for human judgment.</w:t>
      </w:r>
    </w:p>
    <w:p>
      <w:pPr>
        <w:numPr>
          <w:ilvl w:val="0"/>
          <w:numId w:val="1006"/>
        </w:numPr>
        <w:pStyle w:val="Compact"/>
      </w:pPr>
      <w:r>
        <w:rPr>
          <w:bCs/>
          <w:b/>
        </w:rPr>
        <w:t xml:space="preserve">Validate Against Guidelines:</w:t>
      </w:r>
      <w:r>
        <w:t xml:space="preserve"> </w:t>
      </w:r>
      <w:r>
        <w:t xml:space="preserve">Ensure that all outputs align with the latest agency guidelines and best practices.</w:t>
      </w:r>
    </w:p>
    <w:p>
      <w:r>
        <w:pict>
          <v:rect style="width:0;height:1.5pt" o:hralign="center" o:hrstd="t" o:hr="t"/>
        </w:pict>
      </w:r>
    </w:p>
    <w:bookmarkEnd w:id="30"/>
    <w:bookmarkEnd w:id="31"/>
    <w:bookmarkStart w:id="35" w:name="technical-specifications"/>
    <w:p>
      <w:pPr>
        <w:pStyle w:val="Heading2"/>
      </w:pPr>
      <w:r>
        <w:t xml:space="preserve">4. Technical Specifications</w:t>
      </w:r>
    </w:p>
    <w:bookmarkStart w:id="32" w:name="system-requirements"/>
    <w:p>
      <w:pPr>
        <w:pStyle w:val="Heading3"/>
      </w:pPr>
      <w:r>
        <w:t xml:space="preserve">4.1 System Requirements</w:t>
      </w:r>
    </w:p>
    <w:p>
      <w:pPr>
        <w:numPr>
          <w:ilvl w:val="0"/>
          <w:numId w:val="1007"/>
        </w:numPr>
        <w:pStyle w:val="Compact"/>
      </w:pPr>
      <w:r>
        <w:rPr>
          <w:bCs/>
          <w:b/>
        </w:rPr>
        <w:t xml:space="preserve">Operating System:</w:t>
      </w:r>
      <w:r>
        <w:t xml:space="preserve"> </w:t>
      </w:r>
      <w:r>
        <w:t xml:space="preserve">Linux, macOS, or Windows (with appropriate shell support)</w:t>
      </w:r>
    </w:p>
    <w:p>
      <w:pPr>
        <w:numPr>
          <w:ilvl w:val="0"/>
          <w:numId w:val="1007"/>
        </w:numPr>
        <w:pStyle w:val="Compact"/>
      </w:pPr>
      <w:r>
        <w:rPr>
          <w:bCs/>
          <w:b/>
        </w:rPr>
        <w:t xml:space="preserve">Python Version:</w:t>
      </w:r>
      <w:r>
        <w:t xml:space="preserve"> </w:t>
      </w:r>
      <w:r>
        <w:t xml:space="preserve">3.10 or higher</w:t>
      </w:r>
    </w:p>
    <w:p>
      <w:pPr>
        <w:numPr>
          <w:ilvl w:val="0"/>
          <w:numId w:val="1007"/>
        </w:numPr>
        <w:pStyle w:val="Compact"/>
      </w:pPr>
      <w:r>
        <w:rPr>
          <w:bCs/>
          <w:b/>
        </w:rPr>
        <w:t xml:space="preserve">Package Manager:</w:t>
      </w:r>
      <w:r>
        <w:t xml:space="preserve"> </w:t>
      </w:r>
      <w:r>
        <w:rPr>
          <w:rStyle w:val="VerbatimChar"/>
        </w:rPr>
        <w:t xml:space="preserve">uv</w:t>
      </w:r>
      <w:r>
        <w:t xml:space="preserve"> </w:t>
      </w:r>
      <w:r>
        <w:t xml:space="preserve">is recommended for automated dependency management.</w:t>
      </w:r>
    </w:p>
    <w:bookmarkEnd w:id="32"/>
    <w:bookmarkStart w:id="33" w:name="mcp-server-configuration"/>
    <w:p>
      <w:pPr>
        <w:pStyle w:val="Heading3"/>
      </w:pPr>
      <w:r>
        <w:t xml:space="preserve">4.2 MCP Server Configuration</w:t>
      </w:r>
    </w:p>
    <w:p>
      <w:pPr>
        <w:pStyle w:val="FirstParagraph"/>
      </w:pPr>
      <w:r>
        <w:t xml:space="preserve">To integrate the agent with an MCP client, add the following configuration to your client’s settings:</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"grant-reviewer"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"sh"</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"/path/to/grant-reviewer-mcp/run.sh"</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33"/>
    <w:bookmarkStart w:id="34" w:name="integration-with-existing-systems"/>
    <w:p>
      <w:pPr>
        <w:pStyle w:val="Heading3"/>
      </w:pPr>
      <w:r>
        <w:t xml:space="preserve">4.3 Integration with Existing Systems</w:t>
      </w:r>
    </w:p>
    <w:p>
      <w:pPr>
        <w:pStyle w:val="FirstParagraph"/>
      </w:pPr>
      <w:r>
        <w:t xml:space="preserve">The agent is designed for standalone operation but can be integrated with other systems via its MCP interface. The</w:t>
      </w:r>
      <w:r>
        <w:t xml:space="preserve"> </w:t>
      </w:r>
      <w:r>
        <w:rPr>
          <w:rStyle w:val="VerbatimChar"/>
        </w:rPr>
        <w:t xml:space="preserve">run.sh</w:t>
      </w:r>
      <w:r>
        <w:t xml:space="preserve"> </w:t>
      </w:r>
      <w:r>
        <w:t xml:space="preserve">script handles all necessary setup, including dependency installation, making it easy to deploy in various environments.</w:t>
      </w:r>
    </w:p>
    <w:p>
      <w:r>
        <w:pict>
          <v:rect style="width:0;height:1.5pt" o:hralign="center" o:hrstd="t" o:hr="t"/>
        </w:pict>
      </w:r>
    </w:p>
    <w:bookmarkEnd w:id="34"/>
    <w:bookmarkEnd w:id="35"/>
    <w:bookmarkStart w:id="39" w:name="evaluation-frameworks"/>
    <w:p>
      <w:pPr>
        <w:pStyle w:val="Heading2"/>
      </w:pPr>
      <w:r>
        <w:t xml:space="preserve">5. Evaluation Frameworks</w:t>
      </w:r>
    </w:p>
    <w:bookmarkStart w:id="36" w:name="hrsa-evaluation-criteria-and-scoring"/>
    <w:p>
      <w:pPr>
        <w:pStyle w:val="Heading3"/>
      </w:pPr>
      <w:r>
        <w:t xml:space="preserve">5.1 HRSA Evaluation Criteria and Scoring</w:t>
      </w:r>
    </w:p>
    <w:p>
      <w:pPr>
        <w:pStyle w:val="FirstParagraph"/>
      </w:pPr>
      <w:r>
        <w:t xml:space="preserve">HRSA evaluations focus on the following core principles:</w:t>
      </w:r>
    </w:p>
    <w:p>
      <w:pPr>
        <w:numPr>
          <w:ilvl w:val="0"/>
          <w:numId w:val="1008"/>
        </w:numPr>
        <w:pStyle w:val="Compact"/>
      </w:pPr>
      <w:r>
        <w:rPr>
          <w:bCs/>
          <w:b/>
        </w:rPr>
        <w:t xml:space="preserve">Relevance:</w:t>
      </w:r>
      <w:r>
        <w:t xml:space="preserve"> </w:t>
      </w:r>
      <w:r>
        <w:t xml:space="preserve">Alignment with HRSA’s strategic priorities.</w:t>
      </w:r>
    </w:p>
    <w:p>
      <w:pPr>
        <w:numPr>
          <w:ilvl w:val="0"/>
          <w:numId w:val="1008"/>
        </w:numPr>
        <w:pStyle w:val="Compact"/>
      </w:pPr>
      <w:r>
        <w:rPr>
          <w:bCs/>
          <w:b/>
        </w:rPr>
        <w:t xml:space="preserve">Feasibility:</w:t>
      </w:r>
      <w:r>
        <w:t xml:space="preserve"> </w:t>
      </w:r>
      <w:r>
        <w:t xml:space="preserve">The likelihood of the project’s success.</w:t>
      </w:r>
    </w:p>
    <w:p>
      <w:pPr>
        <w:numPr>
          <w:ilvl w:val="0"/>
          <w:numId w:val="1008"/>
        </w:numPr>
        <w:pStyle w:val="Compact"/>
      </w:pPr>
      <w:r>
        <w:rPr>
          <w:bCs/>
          <w:b/>
        </w:rPr>
        <w:t xml:space="preserve">Impact:</w:t>
      </w:r>
      <w:r>
        <w:t xml:space="preserve"> </w:t>
      </w:r>
      <w:r>
        <w:t xml:space="preserve">The potential for positive community outcomes.</w:t>
      </w:r>
    </w:p>
    <w:p>
      <w:pPr>
        <w:numPr>
          <w:ilvl w:val="0"/>
          <w:numId w:val="1008"/>
        </w:numPr>
        <w:pStyle w:val="Compact"/>
      </w:pPr>
      <w:r>
        <w:rPr>
          <w:bCs/>
          <w:b/>
        </w:rPr>
        <w:t xml:space="preserve">Sustainability:</w:t>
      </w:r>
      <w:r>
        <w:t xml:space="preserve"> </w:t>
      </w:r>
      <w:r>
        <w:t xml:space="preserve">The long-term viability of the program.</w:t>
      </w:r>
    </w:p>
    <w:p>
      <w:pPr>
        <w:numPr>
          <w:ilvl w:val="0"/>
          <w:numId w:val="1008"/>
        </w:numPr>
        <w:pStyle w:val="Compact"/>
      </w:pPr>
      <w:r>
        <w:rPr>
          <w:bCs/>
          <w:b/>
        </w:rPr>
        <w:t xml:space="preserve">Capacity:</w:t>
      </w:r>
      <w:r>
        <w:t xml:space="preserve"> </w:t>
      </w:r>
      <w:r>
        <w:t xml:space="preserve">The applicant’s ability to manage the grant.</w:t>
      </w:r>
    </w:p>
    <w:p>
      <w:pPr>
        <w:pStyle w:val="FirstParagraph"/>
      </w:pPr>
      <w:r>
        <w:rPr>
          <w:bCs/>
          <w:b/>
        </w:rPr>
        <w:t xml:space="preserve">Scoring Rubric (5-Point Scale):</w:t>
      </w:r>
    </w:p>
    <w:p>
      <w:pPr>
        <w:numPr>
          <w:ilvl w:val="0"/>
          <w:numId w:val="1009"/>
        </w:numPr>
        <w:pStyle w:val="Compact"/>
      </w:pPr>
      <w:r>
        <w:rPr>
          <w:bCs/>
          <w:b/>
        </w:rPr>
        <w:t xml:space="preserve">Outstanding (90-100%):</w:t>
      </w:r>
      <w:r>
        <w:t xml:space="preserve"> </w:t>
      </w:r>
      <w:r>
        <w:t xml:space="preserve">Exceeds all requirements; demonstrates exceptional quality.</w:t>
      </w:r>
    </w:p>
    <w:p>
      <w:pPr>
        <w:numPr>
          <w:ilvl w:val="0"/>
          <w:numId w:val="1009"/>
        </w:numPr>
        <w:pStyle w:val="Compact"/>
      </w:pPr>
      <w:r>
        <w:rPr>
          <w:bCs/>
          <w:b/>
        </w:rPr>
        <w:t xml:space="preserve">Very Good (80-89%):</w:t>
      </w:r>
      <w:r>
        <w:t xml:space="preserve"> </w:t>
      </w:r>
      <w:r>
        <w:t xml:space="preserve">Addresses all requirements with minor weaknesses.</w:t>
      </w:r>
    </w:p>
    <w:p>
      <w:pPr>
        <w:numPr>
          <w:ilvl w:val="0"/>
          <w:numId w:val="1009"/>
        </w:numPr>
        <w:pStyle w:val="Compact"/>
      </w:pPr>
      <w:r>
        <w:rPr>
          <w:bCs/>
          <w:b/>
        </w:rPr>
        <w:t xml:space="preserve">Good (70-79%):</w:t>
      </w:r>
      <w:r>
        <w:t xml:space="preserve"> </w:t>
      </w:r>
      <w:r>
        <w:t xml:space="preserve">Addresses most requirements but has moderate weaknesses.</w:t>
      </w:r>
    </w:p>
    <w:p>
      <w:pPr>
        <w:numPr>
          <w:ilvl w:val="0"/>
          <w:numId w:val="1009"/>
        </w:numPr>
        <w:pStyle w:val="Compact"/>
      </w:pPr>
      <w:r>
        <w:rPr>
          <w:bCs/>
          <w:b/>
        </w:rPr>
        <w:t xml:space="preserve">Satisfactory (60-69%):</w:t>
      </w:r>
      <w:r>
        <w:t xml:space="preserve"> </w:t>
      </w:r>
      <w:r>
        <w:t xml:space="preserve">Addresses some requirements but has significant weaknesses.</w:t>
      </w:r>
    </w:p>
    <w:p>
      <w:pPr>
        <w:numPr>
          <w:ilvl w:val="0"/>
          <w:numId w:val="1009"/>
        </w:numPr>
        <w:pStyle w:val="Compact"/>
      </w:pPr>
      <w:r>
        <w:rPr>
          <w:bCs/>
          <w:b/>
        </w:rPr>
        <w:t xml:space="preserve">Poor (&lt;60%):</w:t>
      </w:r>
      <w:r>
        <w:t xml:space="preserve"> </w:t>
      </w:r>
      <w:r>
        <w:t xml:space="preserve">Fails to address most requirements.</w:t>
      </w:r>
    </w:p>
    <w:bookmarkEnd w:id="36"/>
    <w:bookmarkStart w:id="37" w:name="samhsa-evaluation-criteria-and-scoring"/>
    <w:p>
      <w:pPr>
        <w:pStyle w:val="Heading3"/>
      </w:pPr>
      <w:r>
        <w:t xml:space="preserve">5.2 SAMHSA Evaluation Criteria and Scoring</w:t>
      </w:r>
    </w:p>
    <w:p>
      <w:pPr>
        <w:pStyle w:val="FirstParagraph"/>
      </w:pPr>
      <w:r>
        <w:t xml:space="preserve">SAMHSA evaluations prioritize:</w:t>
      </w:r>
    </w:p>
    <w:p>
      <w:pPr>
        <w:numPr>
          <w:ilvl w:val="0"/>
          <w:numId w:val="1010"/>
        </w:numPr>
        <w:pStyle w:val="Compact"/>
      </w:pPr>
      <w:r>
        <w:rPr>
          <w:bCs/>
          <w:b/>
        </w:rPr>
        <w:t xml:space="preserve">Alignment:</w:t>
      </w:r>
      <w:r>
        <w:t xml:space="preserve"> </w:t>
      </w:r>
      <w:r>
        <w:t xml:space="preserve">Consistency with SAMHSA’s mission and goals.</w:t>
      </w:r>
    </w:p>
    <w:p>
      <w:pPr>
        <w:numPr>
          <w:ilvl w:val="0"/>
          <w:numId w:val="1010"/>
        </w:numPr>
        <w:pStyle w:val="Compact"/>
      </w:pPr>
      <w:r>
        <w:rPr>
          <w:bCs/>
          <w:b/>
        </w:rPr>
        <w:t xml:space="preserve">Evidence-Based Practices:</w:t>
      </w:r>
      <w:r>
        <w:t xml:space="preserve"> </w:t>
      </w:r>
      <w:r>
        <w:t xml:space="preserve">Use of proven methods and interventions.</w:t>
      </w:r>
    </w:p>
    <w:p>
      <w:pPr>
        <w:numPr>
          <w:ilvl w:val="0"/>
          <w:numId w:val="1010"/>
        </w:numPr>
        <w:pStyle w:val="Compact"/>
      </w:pPr>
      <w:r>
        <w:rPr>
          <w:bCs/>
          <w:b/>
        </w:rPr>
        <w:t xml:space="preserve">Target Population:</w:t>
      </w:r>
      <w:r>
        <w:t xml:space="preserve"> </w:t>
      </w:r>
      <w:r>
        <w:t xml:space="preserve">A clear focus on a specific, high-need population.</w:t>
      </w:r>
    </w:p>
    <w:p>
      <w:pPr>
        <w:numPr>
          <w:ilvl w:val="0"/>
          <w:numId w:val="1010"/>
        </w:numPr>
        <w:pStyle w:val="Compact"/>
      </w:pPr>
      <w:r>
        <w:rPr>
          <w:bCs/>
          <w:b/>
        </w:rPr>
        <w:t xml:space="preserve">Outcomes:</w:t>
      </w:r>
      <w:r>
        <w:t xml:space="preserve"> </w:t>
      </w:r>
      <w:r>
        <w:t xml:space="preserve">Measurable and realistic project outcomes.</w:t>
      </w:r>
    </w:p>
    <w:p>
      <w:pPr>
        <w:numPr>
          <w:ilvl w:val="0"/>
          <w:numId w:val="1010"/>
        </w:numPr>
        <w:pStyle w:val="Compact"/>
      </w:pPr>
      <w:r>
        <w:rPr>
          <w:bCs/>
          <w:b/>
        </w:rPr>
        <w:t xml:space="preserve">Cultural Competency:</w:t>
      </w:r>
      <w:r>
        <w:t xml:space="preserve"> </w:t>
      </w:r>
      <w:r>
        <w:t xml:space="preserve">Responsiveness to the cultural needs of the target population.</w:t>
      </w:r>
    </w:p>
    <w:p>
      <w:pPr>
        <w:pStyle w:val="FirstParagraph"/>
      </w:pPr>
      <w:r>
        <w:rPr>
          <w:bCs/>
          <w:b/>
        </w:rPr>
        <w:t xml:space="preserve">Scoring Rubric (5-Point Scale):</w:t>
      </w:r>
    </w:p>
    <w:p>
      <w:pPr>
        <w:numPr>
          <w:ilvl w:val="0"/>
          <w:numId w:val="1011"/>
        </w:numPr>
        <w:pStyle w:val="Compact"/>
      </w:pPr>
      <w:r>
        <w:rPr>
          <w:bCs/>
          <w:b/>
        </w:rPr>
        <w:t xml:space="preserve">Outstanding:</w:t>
      </w:r>
      <w:r>
        <w:t xml:space="preserve"> </w:t>
      </w:r>
      <w:r>
        <w:t xml:space="preserve">Comprehensive and detailed; demonstrates a strong understanding.</w:t>
      </w:r>
    </w:p>
    <w:p>
      <w:pPr>
        <w:numPr>
          <w:ilvl w:val="0"/>
          <w:numId w:val="1011"/>
        </w:numPr>
        <w:pStyle w:val="Compact"/>
      </w:pPr>
      <w:r>
        <w:rPr>
          <w:bCs/>
          <w:b/>
        </w:rPr>
        <w:t xml:space="preserve">Very Good:</w:t>
      </w:r>
      <w:r>
        <w:t xml:space="preserve"> </w:t>
      </w:r>
      <w:r>
        <w:t xml:space="preserve">Significant detail and relevant examples; demonstrates a sound understanding.</w:t>
      </w:r>
    </w:p>
    <w:p>
      <w:pPr>
        <w:numPr>
          <w:ilvl w:val="0"/>
          <w:numId w:val="1011"/>
        </w:numPr>
        <w:pStyle w:val="Compact"/>
      </w:pPr>
      <w:r>
        <w:rPr>
          <w:bCs/>
          <w:b/>
        </w:rPr>
        <w:t xml:space="preserve">Acceptable:</w:t>
      </w:r>
      <w:r>
        <w:t xml:space="preserve"> </w:t>
      </w:r>
      <w:r>
        <w:t xml:space="preserve">Basic response with limited detail.</w:t>
      </w:r>
    </w:p>
    <w:p>
      <w:pPr>
        <w:numPr>
          <w:ilvl w:val="0"/>
          <w:numId w:val="1011"/>
        </w:numPr>
        <w:pStyle w:val="Compact"/>
      </w:pPr>
      <w:r>
        <w:rPr>
          <w:bCs/>
          <w:b/>
        </w:rPr>
        <w:t xml:space="preserve">Marginal:</w:t>
      </w:r>
      <w:r>
        <w:t xml:space="preserve"> </w:t>
      </w:r>
      <w:r>
        <w:t xml:space="preserve">Minimal detail with major gaps.</w:t>
      </w:r>
    </w:p>
    <w:p>
      <w:pPr>
        <w:numPr>
          <w:ilvl w:val="0"/>
          <w:numId w:val="1011"/>
        </w:numPr>
        <w:pStyle w:val="Compact"/>
      </w:pPr>
      <w:r>
        <w:rPr>
          <w:bCs/>
          <w:b/>
        </w:rPr>
        <w:t xml:space="preserve">Unacceptable:</w:t>
      </w:r>
      <w:r>
        <w:t xml:space="preserve"> </w:t>
      </w:r>
      <w:r>
        <w:t xml:space="preserve">Fails to address the requirements.</w:t>
      </w:r>
    </w:p>
    <w:bookmarkEnd w:id="37"/>
    <w:bookmarkStart w:id="38" w:name="comment-generation-guidelines"/>
    <w:p>
      <w:pPr>
        <w:pStyle w:val="Heading3"/>
      </w:pPr>
      <w:r>
        <w:t xml:space="preserve">5.3 Comment Generation Guidelines</w:t>
      </w:r>
    </w:p>
    <w:p>
      <w:pPr>
        <w:pStyle w:val="FirstParagraph"/>
      </w:pPr>
      <w:r>
        <w:t xml:space="preserve">The agent follows federal best practices for writing constructive and bias-free comments:</w:t>
      </w:r>
    </w:p>
    <w:p>
      <w:pPr>
        <w:numPr>
          <w:ilvl w:val="0"/>
          <w:numId w:val="1012"/>
        </w:numPr>
        <w:pStyle w:val="Compact"/>
      </w:pPr>
      <w:r>
        <w:rPr>
          <w:bCs/>
          <w:b/>
        </w:rPr>
        <w:t xml:space="preserve">Third-Person Voice:</w:t>
      </w:r>
      <w:r>
        <w:t xml:space="preserve"> </w:t>
      </w:r>
      <w:r>
        <w:t xml:space="preserve">Comments are written in an objective, third-person perspective (e.g.,</w:t>
      </w:r>
      <w:r>
        <w:t xml:space="preserve"> </w:t>
      </w:r>
      <w:r>
        <w:t xml:space="preserve">“</w:t>
      </w:r>
      <w:r>
        <w:t xml:space="preserve">The applicant organization…</w:t>
      </w:r>
      <w:r>
        <w:t xml:space="preserve">”</w:t>
      </w:r>
      <w:r>
        <w:t xml:space="preserve">).</w:t>
      </w:r>
    </w:p>
    <w:p>
      <w:pPr>
        <w:numPr>
          <w:ilvl w:val="0"/>
          <w:numId w:val="1012"/>
        </w:numPr>
        <w:pStyle w:val="Compact"/>
      </w:pPr>
      <w:r>
        <w:rPr>
          <w:bCs/>
          <w:b/>
        </w:rPr>
        <w:t xml:space="preserve">Evidence-Based:</w:t>
      </w:r>
      <w:r>
        <w:t xml:space="preserve"> </w:t>
      </w:r>
      <w:r>
        <w:t xml:space="preserve">All statements are supported by specific examples and page references from the application.</w:t>
      </w:r>
    </w:p>
    <w:p>
      <w:pPr>
        <w:numPr>
          <w:ilvl w:val="0"/>
          <w:numId w:val="1012"/>
        </w:numPr>
        <w:pStyle w:val="Compact"/>
      </w:pPr>
      <w:r>
        <w:rPr>
          <w:bCs/>
          <w:b/>
        </w:rPr>
        <w:t xml:space="preserve">Non-Prescriptive:</w:t>
      </w:r>
      <w:r>
        <w:t xml:space="preserve"> </w:t>
      </w:r>
      <w:r>
        <w:t xml:space="preserve">The agent avoids making prescriptive recommendations, instead focusing on assessing the application as written.</w:t>
      </w:r>
    </w:p>
    <w:p>
      <w:pPr>
        <w:numPr>
          <w:ilvl w:val="0"/>
          <w:numId w:val="1012"/>
        </w:numPr>
        <w:pStyle w:val="Compact"/>
      </w:pPr>
      <w:r>
        <w:rPr>
          <w:bCs/>
          <w:b/>
        </w:rPr>
        <w:t xml:space="preserve">Professional Language:</w:t>
      </w:r>
      <w:r>
        <w:t xml:space="preserve"> </w:t>
      </w:r>
      <w:r>
        <w:t xml:space="preserve">Comments are phrased constructively and avoid negative or discouraging language.</w:t>
      </w:r>
    </w:p>
    <w:p>
      <w:r>
        <w:pict>
          <v:rect style="width:0;height:1.5pt" o:hralign="center" o:hrstd="t" o:hr="t"/>
        </w:pict>
      </w:r>
    </w:p>
    <w:bookmarkEnd w:id="38"/>
    <w:bookmarkEnd w:id="39"/>
    <w:bookmarkStart w:id="43" w:name="quality-assurance"/>
    <w:p>
      <w:pPr>
        <w:pStyle w:val="Heading2"/>
      </w:pPr>
      <w:r>
        <w:t xml:space="preserve">6. Quality Assurance</w:t>
      </w:r>
    </w:p>
    <w:bookmarkStart w:id="40" w:name="bias-mitigation-protocols"/>
    <w:p>
      <w:pPr>
        <w:pStyle w:val="Heading3"/>
      </w:pPr>
      <w:r>
        <w:t xml:space="preserve">6.1 Bias Mitigation Protocols</w:t>
      </w:r>
    </w:p>
    <w:p>
      <w:pPr>
        <w:pStyle w:val="FirstParagraph"/>
      </w:pPr>
      <w:r>
        <w:t xml:space="preserve">The agent is designed with fairness and equity at its core. Bias mitigation is achieved through:</w:t>
      </w:r>
    </w:p>
    <w:p>
      <w:pPr>
        <w:numPr>
          <w:ilvl w:val="0"/>
          <w:numId w:val="1013"/>
        </w:numPr>
        <w:pStyle w:val="Compact"/>
      </w:pPr>
      <w:r>
        <w:rPr>
          <w:bCs/>
          <w:b/>
        </w:rPr>
        <w:t xml:space="preserve">Objective Criteria:</w:t>
      </w:r>
      <w:r>
        <w:t xml:space="preserve"> </w:t>
      </w:r>
      <w:r>
        <w:t xml:space="preserve">Strict adherence to the published evaluation criteria.</w:t>
      </w:r>
    </w:p>
    <w:p>
      <w:pPr>
        <w:numPr>
          <w:ilvl w:val="0"/>
          <w:numId w:val="1013"/>
        </w:numPr>
        <w:pStyle w:val="Compact"/>
      </w:pPr>
      <w:r>
        <w:rPr>
          <w:bCs/>
          <w:b/>
        </w:rPr>
        <w:t xml:space="preserve">Standardized Rubrics:</w:t>
      </w:r>
      <w:r>
        <w:t xml:space="preserve"> </w:t>
      </w:r>
      <w:r>
        <w:t xml:space="preserve">Consistent application of scoring rubrics to all applications.</w:t>
      </w:r>
    </w:p>
    <w:p>
      <w:pPr>
        <w:numPr>
          <w:ilvl w:val="0"/>
          <w:numId w:val="1013"/>
        </w:numPr>
        <w:pStyle w:val="Compact"/>
      </w:pPr>
      <w:r>
        <w:rPr>
          <w:bCs/>
          <w:b/>
        </w:rPr>
        <w:t xml:space="preserve">Bias-Free Language:</w:t>
      </w:r>
      <w:r>
        <w:t xml:space="preserve"> </w:t>
      </w:r>
      <w:r>
        <w:t xml:space="preserve">Use of professional and impartial language in all generated comments.</w:t>
      </w:r>
    </w:p>
    <w:p>
      <w:pPr>
        <w:numPr>
          <w:ilvl w:val="0"/>
          <w:numId w:val="1013"/>
        </w:numPr>
        <w:pStyle w:val="Compact"/>
      </w:pPr>
      <w:r>
        <w:rPr>
          <w:bCs/>
          <w:b/>
        </w:rPr>
        <w:t xml:space="preserve">Data-Driven Assessments:</w:t>
      </w:r>
      <w:r>
        <w:t xml:space="preserve"> </w:t>
      </w:r>
      <w:r>
        <w:t xml:space="preserve">Evaluations are based solely on the information provided in the application and NOFO.</w:t>
      </w:r>
    </w:p>
    <w:bookmarkEnd w:id="40"/>
    <w:bookmarkStart w:id="41" w:name="human-oversight-procedures"/>
    <w:p>
      <w:pPr>
        <w:pStyle w:val="Heading3"/>
      </w:pPr>
      <w:r>
        <w:t xml:space="preserve">6.2 Human Oversight Procedures</w:t>
      </w:r>
    </w:p>
    <w:p>
      <w:pPr>
        <w:pStyle w:val="FirstParagraph"/>
      </w:pPr>
      <w:r>
        <w:t xml:space="preserve">Human oversight is a critical component of the quality assurance process. It is recommended to:</w:t>
      </w:r>
    </w:p>
    <w:p>
      <w:pPr>
        <w:numPr>
          <w:ilvl w:val="0"/>
          <w:numId w:val="1014"/>
        </w:numPr>
        <w:pStyle w:val="Compact"/>
      </w:pPr>
      <w:r>
        <w:rPr>
          <w:bCs/>
          <w:b/>
        </w:rPr>
        <w:t xml:space="preserve">Establish Review Checkpoints:</w:t>
      </w:r>
      <w:r>
        <w:t xml:space="preserve"> </w:t>
      </w:r>
      <w:r>
        <w:t xml:space="preserve">Implement a process for human reviewers to validate the agent’s outputs.</w:t>
      </w:r>
    </w:p>
    <w:p>
      <w:pPr>
        <w:numPr>
          <w:ilvl w:val="0"/>
          <w:numId w:val="1014"/>
        </w:numPr>
        <w:pStyle w:val="Compact"/>
      </w:pPr>
      <w:r>
        <w:rPr>
          <w:bCs/>
          <w:b/>
        </w:rPr>
        <w:t xml:space="preserve">Provide an Appeals Process:</w:t>
      </w:r>
      <w:r>
        <w:t xml:space="preserve"> </w:t>
      </w:r>
      <w:r>
        <w:t xml:space="preserve">Allow applicants to request a human review if they believe their evaluation was inaccurate.</w:t>
      </w:r>
    </w:p>
    <w:p>
      <w:pPr>
        <w:numPr>
          <w:ilvl w:val="0"/>
          <w:numId w:val="1014"/>
        </w:numPr>
        <w:pStyle w:val="Compact"/>
      </w:pPr>
      <w:r>
        <w:rPr>
          <w:bCs/>
          <w:b/>
        </w:rPr>
        <w:t xml:space="preserve">Document Final Decisions:</w:t>
      </w:r>
      <w:r>
        <w:t xml:space="preserve"> </w:t>
      </w:r>
      <w:r>
        <w:t xml:space="preserve">Ensure that all final funding decisions are documented and approved by a human authority.</w:t>
      </w:r>
    </w:p>
    <w:bookmarkEnd w:id="41"/>
    <w:bookmarkStart w:id="42" w:name="validation-and-verification-methods"/>
    <w:p>
      <w:pPr>
        <w:pStyle w:val="Heading3"/>
      </w:pPr>
      <w:r>
        <w:t xml:space="preserve">6.3 Validation and Verification Methods</w:t>
      </w:r>
    </w:p>
    <w:p>
      <w:pPr>
        <w:pStyle w:val="FirstParagraph"/>
      </w:pPr>
      <w:r>
        <w:t xml:space="preserve">The agent’s outputs can be validated by:</w:t>
      </w:r>
    </w:p>
    <w:p>
      <w:pPr>
        <w:numPr>
          <w:ilvl w:val="0"/>
          <w:numId w:val="1015"/>
        </w:numPr>
        <w:pStyle w:val="Compact"/>
      </w:pPr>
      <w:r>
        <w:rPr>
          <w:bCs/>
          <w:b/>
        </w:rPr>
        <w:t xml:space="preserve">Comparing with Manual Reviews:</w:t>
      </w:r>
      <w:r>
        <w:t xml:space="preserve"> </w:t>
      </w:r>
      <w:r>
        <w:t xml:space="preserve">Periodically comparing the agent’s evaluations with those of human reviewers to ensure consistency.</w:t>
      </w:r>
    </w:p>
    <w:p>
      <w:pPr>
        <w:numPr>
          <w:ilvl w:val="0"/>
          <w:numId w:val="1015"/>
        </w:numPr>
        <w:pStyle w:val="Compact"/>
      </w:pPr>
      <w:r>
        <w:rPr>
          <w:bCs/>
          <w:b/>
        </w:rPr>
        <w:t xml:space="preserve">Auditing Evaluation Logs:</w:t>
      </w:r>
      <w:r>
        <w:t xml:space="preserve"> </w:t>
      </w:r>
      <w:r>
        <w:t xml:space="preserve">Reviewing the agent’s internal logs to understand the reasoning behind its assessments.</w:t>
      </w:r>
    </w:p>
    <w:p>
      <w:pPr>
        <w:numPr>
          <w:ilvl w:val="0"/>
          <w:numId w:val="1015"/>
        </w:numPr>
        <w:pStyle w:val="Compact"/>
      </w:pPr>
      <w:r>
        <w:rPr>
          <w:bCs/>
          <w:b/>
        </w:rPr>
        <w:t xml:space="preserve">Seeking Feedback:</w:t>
      </w:r>
      <w:r>
        <w:t xml:space="preserve"> </w:t>
      </w:r>
      <w:r>
        <w:t xml:space="preserve">Soliciting feedback from program officers and reviewers to identify areas for improvement.</w:t>
      </w:r>
    </w:p>
    <w:p>
      <w:r>
        <w:pict>
          <v:rect style="width:0;height:1.5pt" o:hralign="center" o:hrstd="t" o:hr="t"/>
        </w:pict>
      </w:r>
    </w:p>
    <w:bookmarkEnd w:id="42"/>
    <w:bookmarkEnd w:id="43"/>
    <w:bookmarkStart w:id="46" w:name="future-enhancements"/>
    <w:p>
      <w:pPr>
        <w:pStyle w:val="Heading2"/>
      </w:pPr>
      <w:r>
        <w:t xml:space="preserve">7. Future Enhancements</w:t>
      </w:r>
    </w:p>
    <w:bookmarkStart w:id="44" w:name="potential-expansions"/>
    <w:p>
      <w:pPr>
        <w:pStyle w:val="Heading3"/>
      </w:pPr>
      <w:r>
        <w:t xml:space="preserve">7.1 Potential Expansions</w:t>
      </w:r>
    </w:p>
    <w:p>
      <w:pPr>
        <w:numPr>
          <w:ilvl w:val="0"/>
          <w:numId w:val="1016"/>
        </w:numPr>
        <w:pStyle w:val="Compact"/>
      </w:pPr>
      <w:r>
        <w:rPr>
          <w:bCs/>
          <w:b/>
        </w:rPr>
        <w:t xml:space="preserve">Additional Agency Support:</w:t>
      </w:r>
      <w:r>
        <w:t xml:space="preserve"> </w:t>
      </w:r>
      <w:r>
        <w:t xml:space="preserve">The agent could be extended to support other federal granting agencies, such as the National Institutes of Health (NIH) or the Centers for Disease Control and Prevention (CDC).</w:t>
      </w:r>
    </w:p>
    <w:p>
      <w:pPr>
        <w:numPr>
          <w:ilvl w:val="0"/>
          <w:numId w:val="1016"/>
        </w:numPr>
        <w:pStyle w:val="Compact"/>
      </w:pPr>
      <w:r>
        <w:rPr>
          <w:bCs/>
          <w:b/>
        </w:rPr>
        <w:t xml:space="preserve">Advanced Document Analysis:</w:t>
      </w:r>
      <w:r>
        <w:t xml:space="preserve"> </w:t>
      </w:r>
      <w:r>
        <w:t xml:space="preserve">Future versions could incorporate a more sophisticated analysis of visual elements, such as charts and diagrams.</w:t>
      </w:r>
    </w:p>
    <w:bookmarkEnd w:id="44"/>
    <w:bookmarkStart w:id="45" w:name="advanced-features-roadmap"/>
    <w:p>
      <w:pPr>
        <w:pStyle w:val="Heading3"/>
      </w:pPr>
      <w:r>
        <w:t xml:space="preserve">7.2 Advanced Features Roadmap</w:t>
      </w:r>
    </w:p>
    <w:p>
      <w:pPr>
        <w:numPr>
          <w:ilvl w:val="0"/>
          <w:numId w:val="1017"/>
        </w:numPr>
        <w:pStyle w:val="Compact"/>
      </w:pPr>
      <w:r>
        <w:rPr>
          <w:bCs/>
          <w:b/>
        </w:rPr>
        <w:t xml:space="preserve">Predictive Analytics:</w:t>
      </w:r>
      <w:r>
        <w:t xml:space="preserve"> </w:t>
      </w:r>
      <w:r>
        <w:t xml:space="preserve">The agent could be trained to predict the likelihood of a project’s success based on historical grant data.</w:t>
      </w:r>
    </w:p>
    <w:p>
      <w:pPr>
        <w:numPr>
          <w:ilvl w:val="0"/>
          <w:numId w:val="1017"/>
        </w:numPr>
        <w:pStyle w:val="Compact"/>
      </w:pPr>
      <w:r>
        <w:rPr>
          <w:bCs/>
          <w:b/>
        </w:rPr>
        <w:t xml:space="preserve">Automated Feedback Generation:</w:t>
      </w:r>
      <w:r>
        <w:t xml:space="preserve"> </w:t>
      </w:r>
      <w:r>
        <w:t xml:space="preserve">Future versions could provide automated feedback to applicants to help them improve their proposals.</w:t>
      </w:r>
    </w:p>
    <w:p>
      <w:pPr>
        <w:numPr>
          <w:ilvl w:val="0"/>
          <w:numId w:val="1017"/>
        </w:numPr>
        <w:pStyle w:val="Compact"/>
      </w:pPr>
      <w:r>
        <w:rPr>
          <w:bCs/>
          <w:b/>
        </w:rPr>
        <w:t xml:space="preserve">Natural Language Querying:</w:t>
      </w:r>
      <w:r>
        <w:t xml:space="preserve"> </w:t>
      </w:r>
      <w:r>
        <w:t xml:space="preserve">Users could ask the agent questions about a grant application in natural language.</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2025-07-21T04:35:19Z</dcterms:created>
  <dcterms:modified xsi:type="dcterms:W3CDTF">2025-07-21T04:35:19Z</dcterms:modified>
</cp:coreProperties>
</file>

<file path=docProps/custom.xml><?xml version="1.0" encoding="utf-8"?>
<Properties xmlns="http://schemas.openxmlformats.org/officeDocument/2006/custom-properties" xmlns:vt="http://schemas.openxmlformats.org/officeDocument/2006/docPropsVTypes"/>
</file>