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2E75B6"/>
          <w:sz w:val="40"/>
          <w:szCs w:val="40"/>
        </w:rPr>
        <w:t xml:space="preserve">NMDS Results — Interpretation Guide</w:t>
      </w:r>
    </w:p>
    <w:p>
      <w:pPr>
        <w:spacing w:after="400"/>
        <w:jc w:val="center"/>
      </w:pPr>
      <w:r>
        <w:rPr>
          <w:rFonts w:ascii="Arial" w:cs="Arial" w:eastAsia="Arial" w:hAnsi="Arial"/>
          <w:i/>
          <w:iCs/>
          <w:color w:val="666666"/>
          <w:sz w:val="24"/>
          <w:szCs w:val="24"/>
        </w:rPr>
        <w:t xml:space="preserve">Methods in Stream Ecology | Chapter 13</w:t>
      </w:r>
    </w:p>
    <w:p>
      <w:pPr>
        <w:pStyle w:val="Heading1"/>
      </w:pPr>
      <w:r>
        <w:rPr>
          <w:rFonts w:ascii="Arial" w:cs="Arial" w:eastAsia="Arial" w:hAnsi="Arial"/>
          <w:b/>
          <w:bCs/>
          <w:sz w:val="32"/>
          <w:szCs w:val="32"/>
        </w:rPr>
        <w:t xml:space="preserve">How to Read an NMDS Plot</w:t>
      </w:r>
    </w:p>
    <w:p>
      <w:pPr>
        <w:spacing w:after="120"/>
      </w:pPr>
      <w:r>
        <w:rPr>
          <w:rFonts w:ascii="Arial" w:cs="Arial" w:eastAsia="Arial" w:hAnsi="Arial"/>
          <w:sz w:val="22"/>
          <w:szCs w:val="22"/>
        </w:rPr>
        <w:t xml:space="preserve">An NMDS ordination plot is a 2D representation of multivariate community dissimilarity. Before interpreting ecological patterns, review these key rules: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Element</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it represents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point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sample (BenSampID) — its position reflects community composition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Distance between points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Bray-Curtis dissimilarity — closer = more similar communities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NMDS1 / NMDS2 axes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inherent ecological meaning — only relative distances matter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Diamond symbol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 centroid (mean NMDS position for that group)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Shaded ellipse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95% confidence interval around the group centroid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Stress value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Goodness of fit — how faithfully 2D represents the full dissimilarity matrix</w:t>
            </w:r>
          </w:p>
        </w:tc>
      </w:tr>
    </w:tbl>
    <w:p>
      <w:r>
        <w:t xml:space="preserve"/>
      </w:r>
    </w:p>
    <w:p>
      <w:pPr>
        <w:spacing w:after="120"/>
      </w:pPr>
      <w:r>
        <w:rPr>
          <w:rFonts w:ascii="Arial" w:cs="Arial" w:eastAsia="Arial" w:hAnsi="Arial"/>
          <w:sz w:val="22"/>
          <w:szCs w:val="22"/>
        </w:rPr>
        <w:t xml:space="preserve">When ellipses for two groups do not overlap, communities in those groups are consistently more different from each other than from communities within their own group.</w:t>
      </w:r>
    </w:p>
    <w:p>
      <w:r>
        <w:t xml:space="preserve"/>
      </w:r>
    </w:p>
    <w:p>
      <w:pPr>
        <w:pStyle w:val="Heading1"/>
      </w:pPr>
      <w:r>
        <w:rPr>
          <w:rFonts w:ascii="Arial" w:cs="Arial" w:eastAsia="Arial" w:hAnsi="Arial"/>
          <w:b/>
          <w:bCs/>
          <w:sz w:val="32"/>
          <w:szCs w:val="32"/>
        </w:rPr>
        <w:t xml:space="preserve">Interpreting Stress</w:t>
      </w:r>
    </w:p>
    <w:p>
      <w:pPr>
        <w:spacing w:after="120"/>
      </w:pPr>
      <w:r>
        <w:rPr>
          <w:rFonts w:ascii="Arial" w:cs="Arial" w:eastAsia="Arial" w:hAnsi="Arial"/>
          <w:sz w:val="22"/>
          <w:szCs w:val="22"/>
        </w:rPr>
        <w:t xml:space="preserve">Always check and report stress before interpreting any NMDS plot. Stress tells you how much information was lost by compressing the data into 2 dimensions.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Stress</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Interpretation</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Example reporting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0.05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Excellent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"NMDS stress = 0.04, indicating excellent 2D representation"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0.05-0.10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"NMDS stress = 0.08, indicating good 2D fit"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0.10-0.20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Acceptable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"NMDS stress = 0.15; results should be interpreted with some caution"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0.20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Poor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Consider k = 3 and report a 3D solution instead</w:t>
            </w:r>
          </w:p>
        </w:tc>
      </w:tr>
    </w:tbl>
    <w:p>
      <w:r>
        <w:t xml:space="preserve"/>
      </w:r>
    </w:p>
    <w:p>
      <w:pPr>
        <w:spacing w:after="120"/>
      </w:pPr>
      <w:r>
        <w:rPr>
          <w:rFonts w:ascii="Arial" w:cs="Arial" w:eastAsia="Arial" w:hAnsi="Arial"/>
          <w:sz w:val="22"/>
          <w:szCs w:val="22"/>
        </w:rPr>
        <w:t xml:space="preserve">Report stress in your figure caption or methods section. Always include the Shepard plot (stressplot output) as a supplemental figure to document the fit.</w:t>
      </w:r>
    </w:p>
    <w:p>
      <w:r>
        <w:t xml:space="preserve"/>
      </w:r>
    </w:p>
    <w:p>
      <w:pPr>
        <w:pStyle w:val="Heading1"/>
      </w:pPr>
      <w:r>
        <w:rPr>
          <w:rFonts w:ascii="Arial" w:cs="Arial" w:eastAsia="Arial" w:hAnsi="Arial"/>
          <w:b/>
          <w:bCs/>
          <w:sz w:val="32"/>
          <w:szCs w:val="32"/>
        </w:rPr>
        <w:t xml:space="preserve">Interpreting PERMANOVA Results</w:t>
      </w:r>
    </w:p>
    <w:p>
      <w:pPr>
        <w:pStyle w:val="Heading2"/>
      </w:pPr>
      <w:r>
        <w:rPr>
          <w:rFonts w:ascii="Arial" w:cs="Arial" w:eastAsia="Arial" w:hAnsi="Arial"/>
          <w:b/>
          <w:bCs/>
          <w:sz w:val="26"/>
          <w:szCs w:val="26"/>
        </w:rPr>
        <w:t xml:space="preserve">What PERMANOVA Tests</w:t>
      </w:r>
    </w:p>
    <w:p>
      <w:pPr>
        <w:spacing w:after="120"/>
      </w:pPr>
      <w:r>
        <w:rPr>
          <w:rFonts w:ascii="Arial" w:cs="Arial" w:eastAsia="Arial" w:hAnsi="Arial"/>
          <w:sz w:val="22"/>
          <w:szCs w:val="22"/>
        </w:rPr>
        <w:t xml:space="preserve">PERMANOVA tests whether the centroids of your groups (in multivariate community space) differ more than would be expected by chance. It is analogous to ANOVA but for community composition data.</w:t>
      </w:r>
    </w:p>
    <w:p>
      <w:r>
        <w:t xml:space="preserve"/>
      </w:r>
    </w:p>
    <w:p>
      <w:pPr>
        <w:pStyle w:val="Heading2"/>
      </w:pPr>
      <w:r>
        <w:rPr>
          <w:rFonts w:ascii="Arial" w:cs="Arial" w:eastAsia="Arial" w:hAnsi="Arial"/>
          <w:b/>
          <w:bCs/>
          <w:sz w:val="26"/>
          <w:szCs w:val="26"/>
        </w:rPr>
        <w:t xml:space="preserve">Key Output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60"/>
        <w:gridCol w:w="320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Meaning</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Typical range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R²</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Proportion of total community variation explained by the factor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0.01-0.30 for ecological data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Pseudo-F statistic — ratio of between- to within-group variation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Pr(&gt;F)</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Permutation p-value based on 999 random permutations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Df</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Degrees of freedom for the factor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groups minus 1</w:t>
            </w:r>
          </w:p>
        </w:tc>
      </w:tr>
    </w:tbl>
    <w:p>
      <w:r>
        <w:t xml:space="preserve"/>
      </w:r>
    </w:p>
    <w:p>
      <w:pPr>
        <w:pStyle w:val="Heading2"/>
      </w:pPr>
      <w:r>
        <w:rPr>
          <w:rFonts w:ascii="Arial" w:cs="Arial" w:eastAsia="Arial" w:hAnsi="Arial"/>
          <w:b/>
          <w:bCs/>
          <w:sz w:val="26"/>
          <w:szCs w:val="26"/>
        </w:rPr>
        <w:t xml:space="preserve">Scenario 1: Gradient Significant, Season Non-Significant</w:t>
      </w:r>
    </w:p>
    <w:p>
      <w:pPr>
        <w:spacing w:after="120"/>
      </w:pPr>
      <w:r>
        <w:rPr>
          <w:rFonts w:ascii="Arial" w:cs="Arial" w:eastAsia="Arial" w:hAnsi="Arial"/>
          <w:sz w:val="22"/>
          <w:szCs w:val="22"/>
        </w:rPr>
        <w:t xml:space="preserve">Gradient: R² = 0.18, F = 21.4, p = 0.001</w:t>
      </w:r>
    </w:p>
    <w:p>
      <w:pPr>
        <w:spacing w:after="120"/>
      </w:pPr>
      <w:r>
        <w:rPr>
          <w:rFonts w:ascii="Arial" w:cs="Arial" w:eastAsia="Arial" w:hAnsi="Arial"/>
          <w:sz w:val="22"/>
          <w:szCs w:val="22"/>
        </w:rPr>
        <w:t xml:space="preserve">Season:   R² = 0.02, F = 2.1, p = 0.112</w:t>
      </w:r>
    </w:p>
    <w:p>
      <w:r>
        <w:t xml:space="preserve"/>
      </w:r>
    </w:p>
    <w:p>
      <w:pPr>
        <w:shd w:fill="F9F9F9" w:val="clear"/>
        <w:spacing w:after="120"/>
        <w:ind w:left="720" w:right="720"/>
      </w:pPr>
      <w:r>
        <w:rPr>
          <w:rFonts w:ascii="Arial" w:cs="Arial" w:eastAsia="Arial" w:hAnsi="Arial"/>
          <w:i/>
          <w:iCs/>
          <w:sz w:val="20"/>
          <w:szCs w:val="20"/>
        </w:rPr>
        <w:t xml:space="preserve">Interpretation: Community composition differed significantly between Riffle and Boatable gradient types, with gradient type explaining 18% of total community variation. Season did not explain a significant proportion of community variation after accounting for gradient type.</w:t>
      </w:r>
    </w:p>
    <w:p>
      <w:r>
        <w:t xml:space="preserve"/>
      </w:r>
    </w:p>
    <w:p>
      <w:pPr>
        <w:pStyle w:val="Heading2"/>
      </w:pPr>
      <w:r>
        <w:rPr>
          <w:rFonts w:ascii="Arial" w:cs="Arial" w:eastAsia="Arial" w:hAnsi="Arial"/>
          <w:b/>
          <w:bCs/>
          <w:sz w:val="26"/>
          <w:szCs w:val="26"/>
        </w:rPr>
        <w:t xml:space="preserve">Scenario 2: Both Factors Significant</w:t>
      </w:r>
    </w:p>
    <w:p>
      <w:pPr>
        <w:spacing w:after="120"/>
      </w:pPr>
      <w:r>
        <w:rPr>
          <w:rFonts w:ascii="Arial" w:cs="Arial" w:eastAsia="Arial" w:hAnsi="Arial"/>
          <w:sz w:val="22"/>
          <w:szCs w:val="22"/>
        </w:rPr>
        <w:t xml:space="preserve">Gradient: R² = 0.15, F = 17.8, p = 0.001</w:t>
      </w:r>
    </w:p>
    <w:p>
      <w:pPr>
        <w:spacing w:after="120"/>
      </w:pPr>
      <w:r>
        <w:rPr>
          <w:rFonts w:ascii="Arial" w:cs="Arial" w:eastAsia="Arial" w:hAnsi="Arial"/>
          <w:sz w:val="22"/>
          <w:szCs w:val="22"/>
        </w:rPr>
        <w:t xml:space="preserve">Season:   R² = 0.08, F = 9.4, p = 0.003</w:t>
      </w:r>
    </w:p>
    <w:p>
      <w:r>
        <w:t xml:space="preserve"/>
      </w:r>
    </w:p>
    <w:p>
      <w:pPr>
        <w:shd w:fill="F9F9F9" w:val="clear"/>
        <w:spacing w:after="120"/>
        <w:ind w:left="720" w:right="720"/>
      </w:pPr>
      <w:r>
        <w:rPr>
          <w:rFonts w:ascii="Arial" w:cs="Arial" w:eastAsia="Arial" w:hAnsi="Arial"/>
          <w:i/>
          <w:iCs/>
          <w:sz w:val="20"/>
          <w:szCs w:val="20"/>
        </w:rPr>
        <w:t xml:space="preserve">Interpretation: Both gradient type and season significantly explained community composition. Gradient type was the stronger driver (R² = 0.15) compared to season (R² = 0.08), suggesting that habitat type structures macroinvertebrate communities more strongly than temporal variation between spring and fall.</w:t>
      </w:r>
    </w:p>
    <w:p>
      <w:r>
        <w:t xml:space="preserve"/>
      </w:r>
    </w:p>
    <w:p>
      <w:pPr>
        <w:pStyle w:val="Heading2"/>
      </w:pPr>
      <w:r>
        <w:rPr>
          <w:rFonts w:ascii="Arial" w:cs="Arial" w:eastAsia="Arial" w:hAnsi="Arial"/>
          <w:b/>
          <w:bCs/>
          <w:sz w:val="26"/>
          <w:szCs w:val="26"/>
        </w:rPr>
        <w:t xml:space="preserve">Scenario 3: Neither Factor Significant</w:t>
      </w:r>
    </w:p>
    <w:p>
      <w:pPr>
        <w:spacing w:after="120"/>
      </w:pPr>
      <w:r>
        <w:rPr>
          <w:rFonts w:ascii="Arial" w:cs="Arial" w:eastAsia="Arial" w:hAnsi="Arial"/>
          <w:sz w:val="22"/>
          <w:szCs w:val="22"/>
        </w:rPr>
        <w:t xml:space="preserve">Gradient: R² = 0.03, F = 2.8, p = 0.068</w:t>
      </w:r>
    </w:p>
    <w:p>
      <w:pPr>
        <w:spacing w:after="120"/>
      </w:pPr>
      <w:r>
        <w:rPr>
          <w:rFonts w:ascii="Arial" w:cs="Arial" w:eastAsia="Arial" w:hAnsi="Arial"/>
          <w:sz w:val="22"/>
          <w:szCs w:val="22"/>
        </w:rPr>
        <w:t xml:space="preserve">Season:   R² = 0.02, F = 1.9, p = 0.130</w:t>
      </w:r>
    </w:p>
    <w:p>
      <w:r>
        <w:t xml:space="preserve"/>
      </w:r>
    </w:p>
    <w:p>
      <w:pPr>
        <w:shd w:fill="F9F9F9" w:val="clear"/>
        <w:spacing w:after="120"/>
        <w:ind w:left="720" w:right="720"/>
      </w:pPr>
      <w:r>
        <w:rPr>
          <w:rFonts w:ascii="Arial" w:cs="Arial" w:eastAsia="Arial" w:hAnsi="Arial"/>
          <w:i/>
          <w:iCs/>
          <w:sz w:val="20"/>
          <w:szCs w:val="20"/>
        </w:rPr>
        <w:t xml:space="preserve">Interpretation: Neither gradient type nor season significantly explained macroinvertebrate community composition. The NMDS plot showed substantial overlap among groups, consistent with high within-group variability relative to between-group differences.</w:t>
      </w:r>
    </w:p>
    <w:p>
      <w:r>
        <w:t xml:space="preserve"/>
      </w:r>
    </w:p>
    <w:p>
      <w:pPr>
        <w:pStyle w:val="Heading1"/>
      </w:pPr>
      <w:r>
        <w:rPr>
          <w:rFonts w:ascii="Arial" w:cs="Arial" w:eastAsia="Arial" w:hAnsi="Arial"/>
          <w:b/>
          <w:bCs/>
          <w:sz w:val="32"/>
          <w:szCs w:val="32"/>
        </w:rPr>
        <w:t xml:space="preserve">Interpreting BETADISPER Results</w:t>
      </w:r>
    </w:p>
    <w:p>
      <w:pPr>
        <w:pStyle w:val="Heading2"/>
      </w:pPr>
      <w:r>
        <w:rPr>
          <w:rFonts w:ascii="Arial" w:cs="Arial" w:eastAsia="Arial" w:hAnsi="Arial"/>
          <w:b/>
          <w:bCs/>
          <w:sz w:val="26"/>
          <w:szCs w:val="26"/>
        </w:rPr>
        <w:t xml:space="preserve">Why BETADISPER Matters</w:t>
      </w:r>
    </w:p>
    <w:p>
      <w:pPr>
        <w:spacing w:after="120"/>
      </w:pPr>
      <w:r>
        <w:rPr>
          <w:rFonts w:ascii="Arial" w:cs="Arial" w:eastAsia="Arial" w:hAnsi="Arial"/>
          <w:sz w:val="22"/>
          <w:szCs w:val="22"/>
        </w:rPr>
        <w:t xml:space="preserve">PERMANOVA tests whether group centroids differ, but it assumes all groups have equal within-group spread (dispersion). If groups differ in variability — not just in mean composition — a significant PERMANOVA result may be misleading. BETADISPER tests this assumption directly.</w:t>
      </w:r>
    </w:p>
    <w:p>
      <w:r>
        <w:t xml:space="preserve"/>
      </w:r>
    </w:p>
    <w:p>
      <w:pPr>
        <w:pStyle w:val="Heading2"/>
      </w:pPr>
      <w:r>
        <w:rPr>
          <w:rFonts w:ascii="Arial" w:cs="Arial" w:eastAsia="Arial" w:hAnsi="Arial"/>
          <w:b/>
          <w:bCs/>
          <w:sz w:val="26"/>
          <w:szCs w:val="26"/>
        </w:rPr>
        <w:t xml:space="preserve">Decision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PERMANOVA</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BETADISPER</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Interpretation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Significant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Non-significant (p &gt; 0.05)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 result — groups differ in centroid position with equal spread. Report normally.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Significant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Significant (p &lt; 0.05)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Caution — groups differ in both position and spread. Report both and acknowledge uncertainty.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Non-significant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Non-significant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difference in composition or variability among groups.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Non-significant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Significant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Groups do not differ in mean composition but do differ in variability (e.g., one group is more variable than another).</w:t>
            </w:r>
          </w:p>
        </w:tc>
      </w:tr>
    </w:tbl>
    <w:p>
      <w:r>
        <w:t xml:space="preserve"/>
      </w:r>
    </w:p>
    <w:p>
      <w:pPr>
        <w:pStyle w:val="Heading2"/>
      </w:pPr>
      <w:r>
        <w:rPr>
          <w:rFonts w:ascii="Arial" w:cs="Arial" w:eastAsia="Arial" w:hAnsi="Arial"/>
          <w:b/>
          <w:bCs/>
          <w:sz w:val="26"/>
          <w:szCs w:val="26"/>
        </w:rPr>
        <w:t xml:space="preserve">Example Write-Up (Both Significant)</w:t>
      </w:r>
    </w:p>
    <w:p>
      <w:pPr>
        <w:shd w:fill="F9F9F9" w:val="clear"/>
        <w:spacing w:after="120"/>
        <w:ind w:left="720" w:right="720"/>
      </w:pPr>
      <w:r>
        <w:rPr>
          <w:rFonts w:ascii="Arial" w:cs="Arial" w:eastAsia="Arial" w:hAnsi="Arial"/>
          <w:i/>
          <w:iCs/>
          <w:sz w:val="20"/>
          <w:szCs w:val="20"/>
        </w:rPr>
        <w:t xml:space="preserve">Community composition differed significantly between gradient types (PERMANOVA: R² = 0.12, F = 13.4, p = 0.001, 999 permutations). However, BETADISPER indicated that within-group dispersion also differed between Riffle and Boatable samples (F = 6.2, p = 0.018), suggesting that Boatable sites showed greater community variability. PERMANOVA results should therefore be interpreted with caution, as the significant result may partially reflect differences in dispersion rather than centroid position alone.</w:t>
      </w:r>
    </w:p>
    <w:p>
      <w:r>
        <w:t xml:space="preserve"/>
      </w:r>
    </w:p>
    <w:p>
      <w:pPr>
        <w:pStyle w:val="Heading1"/>
      </w:pPr>
      <w:r>
        <w:rPr>
          <w:rFonts w:ascii="Arial" w:cs="Arial" w:eastAsia="Arial" w:hAnsi="Arial"/>
          <w:b/>
          <w:bCs/>
          <w:sz w:val="32"/>
          <w:szCs w:val="32"/>
        </w:rPr>
        <w:t xml:space="preserve">Interpreting Indicator Species Results</w:t>
      </w:r>
    </w:p>
    <w:p>
      <w:pPr>
        <w:pStyle w:val="Heading2"/>
      </w:pPr>
      <w:r>
        <w:rPr>
          <w:rFonts w:ascii="Arial" w:cs="Arial" w:eastAsia="Arial" w:hAnsi="Arial"/>
          <w:b/>
          <w:bCs/>
          <w:sz w:val="26"/>
          <w:szCs w:val="26"/>
        </w:rPr>
        <w:t xml:space="preserve">What IndVal Measures</w:t>
      </w:r>
    </w:p>
    <w:p>
      <w:pPr>
        <w:spacing w:after="120"/>
      </w:pPr>
      <w:r>
        <w:rPr>
          <w:rFonts w:ascii="Arial" w:cs="Arial" w:eastAsia="Arial" w:hAnsi="Arial"/>
          <w:sz w:val="22"/>
          <w:szCs w:val="22"/>
        </w:rPr>
        <w:t xml:space="preserve">The IndVal.g statistic combines two components for each taxon-group pairing:</w:t>
      </w:r>
    </w:p>
    <w:p>
      <w:pPr>
        <w:pStyle w:val="ListParagraph"/>
        <w:numPr>
          <w:ilvl w:val="0"/>
          <w:numId w:val="2"/>
        </w:numPr>
        <w:spacing w:after="80"/>
      </w:pPr>
      <w:r>
        <w:rPr>
          <w:rFonts w:ascii="Arial" w:cs="Arial" w:eastAsia="Arial" w:hAnsi="Arial"/>
          <w:sz w:val="22"/>
          <w:szCs w:val="22"/>
        </w:rPr>
        <w:t xml:space="preserve">Specificity: How exclusively does this taxon occur in this group? (1 = only in this group)</w:t>
      </w:r>
    </w:p>
    <w:p>
      <w:pPr>
        <w:pStyle w:val="ListParagraph"/>
        <w:numPr>
          <w:ilvl w:val="0"/>
          <w:numId w:val="2"/>
        </w:numPr>
        <w:spacing w:after="80"/>
      </w:pPr>
      <w:r>
        <w:rPr>
          <w:rFonts w:ascii="Arial" w:cs="Arial" w:eastAsia="Arial" w:hAnsi="Arial"/>
          <w:sz w:val="22"/>
          <w:szCs w:val="22"/>
        </w:rPr>
        <w:t xml:space="preserve">Fidelity: How consistently does this taxon occur across samples within this group? (1 = present in every sample)</w:t>
      </w:r>
    </w:p>
    <w:p>
      <w:r>
        <w:t xml:space="preserve"/>
      </w:r>
    </w:p>
    <w:p>
      <w:pPr>
        <w:spacing w:after="120"/>
      </w:pPr>
      <w:r>
        <w:rPr>
          <w:rFonts w:ascii="Arial" w:cs="Arial" w:eastAsia="Arial" w:hAnsi="Arial"/>
          <w:sz w:val="22"/>
          <w:szCs w:val="22"/>
        </w:rPr>
        <w:t xml:space="preserve">IndVal.g = √(specificity × fidelity). Values closer to 1 indicate stronger indicator taxa.</w:t>
      </w:r>
    </w:p>
    <w:p>
      <w:r>
        <w:t xml:space="preserve"/>
      </w:r>
    </w:p>
    <w:p>
      <w:pPr>
        <w:pStyle w:val="Heading2"/>
      </w:pPr>
      <w:r>
        <w:rPr>
          <w:rFonts w:ascii="Arial" w:cs="Arial" w:eastAsia="Arial" w:hAnsi="Arial"/>
          <w:b/>
          <w:bCs/>
          <w:sz w:val="26"/>
          <w:szCs w:val="26"/>
        </w:rPr>
        <w:t xml:space="preserve">Ecological Interpretation Using Trait Data</w:t>
      </w:r>
    </w:p>
    <w:p>
      <w:pPr>
        <w:spacing w:after="120"/>
      </w:pPr>
      <w:r>
        <w:rPr>
          <w:rFonts w:ascii="Arial" w:cs="Arial" w:eastAsia="Arial" w:hAnsi="Arial"/>
          <w:sz w:val="22"/>
          <w:szCs w:val="22"/>
        </w:rPr>
        <w:t xml:space="preserve">The script joins indicator results to the masterTaxaGenus.csv trait table. Use FFG and TolVal to interpret what a taxon's indicator status means ecologically: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Pattern</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Ecological Interpretation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Riffle indicators have low TolVal (&lt; 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Riffle communities are characterized by pollution-sensitive taxa — consistent with higher water quality or oxygen in riffles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Boatable indicators are scrapers/collector-gatherers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Depositional or slow-water habitats may support different food web pathways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Riffle indicators are clingers (Habit)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Taxa adapted to high-flow, substrate-attached life are riffle-specific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groups have high-tolerance indicators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Neither habitat type provides a strong water quality signal</w:t>
            </w:r>
          </w:p>
        </w:tc>
      </w:tr>
    </w:tbl>
    <w:p>
      <w:r>
        <w:t xml:space="preserve"/>
      </w:r>
    </w:p>
    <w:p>
      <w:pPr>
        <w:pStyle w:val="Heading2"/>
      </w:pPr>
      <w:r>
        <w:rPr>
          <w:rFonts w:ascii="Arial" w:cs="Arial" w:eastAsia="Arial" w:hAnsi="Arial"/>
          <w:b/>
          <w:bCs/>
          <w:sz w:val="26"/>
          <w:szCs w:val="26"/>
        </w:rPr>
        <w:t xml:space="preserve">Example Write-Up</w:t>
      </w:r>
    </w:p>
    <w:p>
      <w:pPr>
        <w:shd w:fill="F9F9F9" w:val="clear"/>
        <w:spacing w:after="120"/>
        <w:ind w:left="720" w:right="720"/>
      </w:pPr>
      <w:r>
        <w:rPr>
          <w:rFonts w:ascii="Arial" w:cs="Arial" w:eastAsia="Arial" w:hAnsi="Arial"/>
          <w:i/>
          <w:iCs/>
          <w:sz w:val="20"/>
          <w:szCs w:val="20"/>
        </w:rPr>
        <w:t xml:space="preserve">Indicator species analysis identified 12 taxa significantly associated with Riffle gradient type and 5 taxa associated with Boatable gradient type (IndVal.g, p &lt; 0.05, 999 permutations). Riffle indicators included several EPT taxa with low tolerance values (TolVal &lt; 4), including Heptageniidae (IndVal = 0.72, p = 0.001) and Perlidae (IndVal = 0.68, p = 0.002), consistent with the higher-velocity, well-oxygenated conditions characteristic of riffles. Boatable indicators included Chironomidae (IndVal = 0.61, p = 0.004) and Tubificida (IndVal = 0.58, p = 0.008), which are tolerant of lower-oxygen, depositional conditions.</w:t>
      </w:r>
    </w:p>
    <w:p>
      <w:r>
        <w:t xml:space="preserve"/>
      </w:r>
    </w:p>
    <w:p>
      <w:pPr>
        <w:pStyle w:val="Heading1"/>
      </w:pPr>
      <w:r>
        <w:rPr>
          <w:rFonts w:ascii="Arial" w:cs="Arial" w:eastAsia="Arial" w:hAnsi="Arial"/>
          <w:b/>
          <w:bCs/>
          <w:sz w:val="32"/>
          <w:szCs w:val="32"/>
        </w:rPr>
        <w:t xml:space="preserve">Reporting NMDS Results in a Publication</w:t>
      </w:r>
    </w:p>
    <w:p>
      <w:pPr>
        <w:pStyle w:val="Heading2"/>
      </w:pPr>
      <w:r>
        <w:rPr>
          <w:rFonts w:ascii="Arial" w:cs="Arial" w:eastAsia="Arial" w:hAnsi="Arial"/>
          <w:b/>
          <w:bCs/>
          <w:sz w:val="26"/>
          <w:szCs w:val="26"/>
        </w:rPr>
        <w:t xml:space="preserve">Methods Section Template</w:t>
      </w:r>
    </w:p>
    <w:p>
      <w:pPr>
        <w:shd w:fill="F9F9F9" w:val="clear"/>
        <w:spacing w:after="120"/>
        <w:ind w:left="720" w:right="720"/>
      </w:pPr>
      <w:r>
        <w:rPr>
          <w:rFonts w:ascii="Arial" w:cs="Arial" w:eastAsia="Arial" w:hAnsi="Arial"/>
          <w:i/>
          <w:iCs/>
          <w:sz w:val="20"/>
          <w:szCs w:val="20"/>
        </w:rPr>
        <w:t xml:space="preserve">We assessed differences in macroinvertebrate community composition among stream gradient types (Riffle vs. Boatable) and seasons (Spring vs. Fall) using Nonmetric Multidimensional Scaling (NMDS) with Bray-Curtis dissimilarity (Bray &amp; Curtis 1957). Prior to ordination, abundance data were log(x+1) transformed and Wisconsin double standardized (McCune &amp; Grace 2002). We tested for significant differences in multivariate community composition using PERMANOVA (adonis2, 999 permutations) and verified homogeneity of multivariate dispersion using BETADISPER (Anderson 2006), both implemented in the vegan package v2.6 (Oksanen et al. 2022). Indicator taxa for each gradient type were identified using the IndVal.g statistic (De Caceres &amp; Legendre 2009) with significance assessed by permutation test (999 permutations) using the indicspecies package.</w:t>
      </w:r>
    </w:p>
    <w:p>
      <w:r>
        <w:t xml:space="preserve"/>
      </w:r>
    </w:p>
    <w:p>
      <w:pPr>
        <w:pStyle w:val="Heading2"/>
      </w:pPr>
      <w:r>
        <w:rPr>
          <w:rFonts w:ascii="Arial" w:cs="Arial" w:eastAsia="Arial" w:hAnsi="Arial"/>
          <w:b/>
          <w:bCs/>
          <w:sz w:val="26"/>
          <w:szCs w:val="26"/>
        </w:rPr>
        <w:t xml:space="preserve">Results Section Template</w:t>
      </w:r>
    </w:p>
    <w:p>
      <w:pPr>
        <w:shd w:fill="F9F9F9" w:val="clear"/>
        <w:spacing w:after="120"/>
        <w:ind w:left="720" w:right="720"/>
      </w:pPr>
      <w:r>
        <w:rPr>
          <w:rFonts w:ascii="Arial" w:cs="Arial" w:eastAsia="Arial" w:hAnsi="Arial"/>
          <w:i/>
          <w:iCs/>
          <w:sz w:val="20"/>
          <w:szCs w:val="20"/>
        </w:rPr>
        <w:t xml:space="preserve">NMDS ordination of macroinvertebrate communities produced a 2D solution with stress = [value], indicating [excellent/good/acceptable] representation of community dissimilarities (Figure X). Communities in Riffle and Boatable habitats showed [overlapping/partially overlapping/non-overlapping] 95% confidence ellipses, consistent with [low/moderate/high] compositional differentiation. Gradient type explained a significant proportion of community variation (PERMANOVA: R² = [value], F = [value], p = [value]). Within-group dispersion did not differ between gradient types (BETADISPER: F = [value], p = [value]), supporting the PERMANOVA interpretation. [N] taxa were identified as significant indicators of Riffle habitats and [N] of Boatable habitats (IndVal.g, p &lt; 0.05; Table X).</w:t>
      </w:r>
    </w:p>
    <w:p>
      <w:r>
        <w:t xml:space="preserve"/>
      </w:r>
    </w:p>
    <w:p>
      <w:pPr>
        <w:pStyle w:val="Heading1"/>
      </w:pPr>
      <w:r>
        <w:rPr>
          <w:rFonts w:ascii="Arial" w:cs="Arial" w:eastAsia="Arial" w:hAnsi="Arial"/>
          <w:b/>
          <w:bCs/>
          <w:sz w:val="32"/>
          <w:szCs w:val="32"/>
        </w:rPr>
        <w:t xml:space="preserve">Common Questions</w:t>
      </w:r>
    </w:p>
    <w:p>
      <w:pPr>
        <w:pStyle w:val="Heading3"/>
      </w:pPr>
      <w:r>
        <w:rPr>
          <w:rFonts w:ascii="Arial" w:cs="Arial" w:eastAsia="Arial" w:hAnsi="Arial"/>
          <w:b/>
          <w:bCs/>
          <w:sz w:val="24"/>
          <w:szCs w:val="24"/>
        </w:rPr>
        <w:t xml:space="preserve">Why do NMDS axes have no labels?</w:t>
      </w:r>
    </w:p>
    <w:p>
      <w:pPr>
        <w:spacing w:after="120"/>
      </w:pPr>
      <w:r>
        <w:rPr>
          <w:rFonts w:ascii="Arial" w:cs="Arial" w:eastAsia="Arial" w:hAnsi="Arial"/>
          <w:sz w:val="22"/>
          <w:szCs w:val="22"/>
        </w:rPr>
        <w:t xml:space="preserve">NMDS axes are not interpretable in isolation — only the distances between points carry meaning. Adding ecological labels to the axes (e.g., "pollution gradient") is only valid if you have explicitly fit environmental variables to the ordination using envfit() or ordisurf() in vegan.</w:t>
      </w:r>
    </w:p>
    <w:p>
      <w:r>
        <w:t xml:space="preserve"/>
      </w:r>
    </w:p>
    <w:p>
      <w:pPr>
        <w:pStyle w:val="Heading3"/>
      </w:pPr>
      <w:r>
        <w:rPr>
          <w:rFonts w:ascii="Arial" w:cs="Arial" w:eastAsia="Arial" w:hAnsi="Arial"/>
          <w:b/>
          <w:bCs/>
          <w:sz w:val="24"/>
          <w:szCs w:val="24"/>
        </w:rPr>
        <w:t xml:space="preserve">Can I compare NMDS plots between studies?</w:t>
      </w:r>
    </w:p>
    <w:p>
      <w:pPr>
        <w:spacing w:after="120"/>
      </w:pPr>
      <w:r>
        <w:rPr>
          <w:rFonts w:ascii="Arial" w:cs="Arial" w:eastAsia="Arial" w:hAnsi="Arial"/>
          <w:sz w:val="22"/>
          <w:szCs w:val="22"/>
        </w:rPr>
        <w:t xml:space="preserve">No. NMDS solutions are specific to the dataset used. Axes can be rotated, flipped, or scaled differently between runs. You can compare the statistical results (stress, PERMANOVA R²), but not the visual layout of plots from different datasets.</w:t>
      </w:r>
    </w:p>
    <w:p>
      <w:r>
        <w:t xml:space="preserve"/>
      </w:r>
    </w:p>
    <w:p>
      <w:pPr>
        <w:pStyle w:val="Heading3"/>
      </w:pPr>
      <w:r>
        <w:rPr>
          <w:rFonts w:ascii="Arial" w:cs="Arial" w:eastAsia="Arial" w:hAnsi="Arial"/>
          <w:b/>
          <w:bCs/>
          <w:sz w:val="24"/>
          <w:szCs w:val="24"/>
        </w:rPr>
        <w:t xml:space="preserve">Should I use Riffle or Boatable as the reference level in PERMANOVA?</w:t>
      </w:r>
    </w:p>
    <w:p>
      <w:pPr>
        <w:spacing w:after="120"/>
      </w:pPr>
      <w:r>
        <w:rPr>
          <w:rFonts w:ascii="Arial" w:cs="Arial" w:eastAsia="Arial" w:hAnsi="Arial"/>
          <w:sz w:val="22"/>
          <w:szCs w:val="22"/>
        </w:rPr>
        <w:t xml:space="preserve">PERMANOVA does not have a reference level the way linear models do. It tests whether any groups differ, not whether one group differs from a reference. For pairwise comparisons (which specific pairs differ), use pairwise.adonis2() from the pairwiseAdonis package.</w:t>
      </w:r>
    </w:p>
    <w:p>
      <w:r>
        <w:t xml:space="preserve"/>
      </w:r>
    </w:p>
    <w:p>
      <w:pPr>
        <w:pStyle w:val="Heading3"/>
      </w:pPr>
      <w:r>
        <w:rPr>
          <w:rFonts w:ascii="Arial" w:cs="Arial" w:eastAsia="Arial" w:hAnsi="Arial"/>
          <w:b/>
          <w:bCs/>
          <w:sz w:val="24"/>
          <w:szCs w:val="24"/>
        </w:rPr>
        <w:t xml:space="preserve">My NMDS looks different every time I run it — is that normal?</w:t>
      </w:r>
    </w:p>
    <w:p>
      <w:pPr>
        <w:spacing w:after="120"/>
      </w:pPr>
      <w:r>
        <w:rPr>
          <w:rFonts w:ascii="Arial" w:cs="Arial" w:eastAsia="Arial" w:hAnsi="Arial"/>
          <w:sz w:val="22"/>
          <w:szCs w:val="22"/>
        </w:rPr>
        <w:t xml:space="preserve">Yes, unless you set a random seed. NMDS uses random starting positions and may reach slightly different solutions across runs. Always use set.seed(123) before metaMDS() to ensure reproducibility, as done in the script.</w:t>
      </w:r>
    </w:p>
    <w:p>
      <w:r>
        <w:t xml:space="preserve"/>
      </w:r>
    </w:p>
    <w:p>
      <w:pPr>
        <w:pStyle w:val="Heading3"/>
      </w:pPr>
      <w:r>
        <w:rPr>
          <w:rFonts w:ascii="Arial" w:cs="Arial" w:eastAsia="Arial" w:hAnsi="Arial"/>
          <w:b/>
          <w:bCs/>
          <w:sz w:val="24"/>
          <w:szCs w:val="24"/>
        </w:rPr>
        <w:t xml:space="preserve">How do I add environmental vectors to my NMDS plot?</w:t>
      </w:r>
    </w:p>
    <w:p>
      <w:pPr>
        <w:shd w:fill="F2F2F2" w:val="clear"/>
        <w:spacing w:after="60" w:before="60"/>
      </w:pPr>
      <w:r>
        <w:rPr>
          <w:rFonts w:ascii="Courier New" w:cs="Courier New" w:eastAsia="Courier New" w:hAnsi="Courier New"/>
          <w:sz w:val="20"/>
          <w:szCs w:val="20"/>
        </w:rPr>
        <w:t xml:space="preserve"># Fit continuous environmental variables to the ordination:</w:t>
      </w:r>
    </w:p>
    <w:p>
      <w:pPr>
        <w:shd w:fill="F2F2F2" w:val="clear"/>
        <w:spacing w:after="60" w:before="60"/>
      </w:pPr>
      <w:r>
        <w:rPr>
          <w:rFonts w:ascii="Courier New" w:cs="Courier New" w:eastAsia="Courier New" w:hAnsi="Courier New"/>
          <w:sz w:val="20"/>
          <w:szCs w:val="20"/>
        </w:rPr>
        <w:t xml:space="preserve">env_fit &lt;- envfit(nmds, env_data, permutations = 999)</w:t>
      </w:r>
    </w:p>
    <w:p>
      <w:pPr>
        <w:shd w:fill="F2F2F2" w:val="clear"/>
        <w:spacing w:after="60" w:before="60"/>
      </w:pPr>
      <w:r>
        <w:rPr>
          <w:rFonts w:ascii="Courier New" w:cs="Courier New" w:eastAsia="Courier New" w:hAnsi="Courier New"/>
          <w:sz w:val="20"/>
          <w:szCs w:val="20"/>
        </w:rPr>
        <w:t xml:space="preserve">plot(nmds)</w:t>
      </w:r>
    </w:p>
    <w:p>
      <w:pPr>
        <w:shd w:fill="F2F2F2" w:val="clear"/>
        <w:spacing w:after="60" w:before="60"/>
      </w:pPr>
      <w:r>
        <w:rPr>
          <w:rFonts w:ascii="Courier New" w:cs="Courier New" w:eastAsia="Courier New" w:hAnsi="Courier New"/>
          <w:sz w:val="20"/>
          <w:szCs w:val="20"/>
        </w:rPr>
        <w:t xml:space="preserve">plot(env_fit, p.max = 0.05)  # only significant vectors</w:t>
      </w:r>
    </w:p>
    <w:p>
      <w:r>
        <w:t xml:space="preserve"/>
      </w:r>
    </w:p>
    <w:p>
      <w:pPr>
        <w:pStyle w:val="Heading1"/>
      </w:pPr>
      <w:r>
        <w:rPr>
          <w:rFonts w:ascii="Arial" w:cs="Arial" w:eastAsia="Arial" w:hAnsi="Arial"/>
          <w:b/>
          <w:bCs/>
          <w:sz w:val="32"/>
          <w:szCs w:val="32"/>
        </w:rPr>
        <w:t xml:space="preserve">References</w:t>
      </w:r>
    </w:p>
    <w:p>
      <w:pPr>
        <w:spacing w:after="120"/>
      </w:pPr>
      <w:r>
        <w:rPr>
          <w:rFonts w:ascii="Arial" w:cs="Arial" w:eastAsia="Arial" w:hAnsi="Arial"/>
          <w:sz w:val="22"/>
          <w:szCs w:val="22"/>
        </w:rPr>
        <w:t xml:space="preserve">Anderson, M. J. (2006). Distance-based tests for homogeneity of multivariate dispersions. Biometrics, 62(1), 245-253.</w:t>
      </w:r>
    </w:p>
    <w:p>
      <w:pPr>
        <w:spacing w:after="120"/>
      </w:pPr>
      <w:r>
        <w:rPr>
          <w:rFonts w:ascii="Arial" w:cs="Arial" w:eastAsia="Arial" w:hAnsi="Arial"/>
          <w:sz w:val="22"/>
          <w:szCs w:val="22"/>
        </w:rPr>
        <w:t xml:space="preserve">Bray, J. R., &amp; Curtis, J. T. (1957). An ordination of the upland forest communities of southern Wisconsin. Ecological Monographs, 27(4), 325-349.</w:t>
      </w:r>
    </w:p>
    <w:p>
      <w:pPr>
        <w:spacing w:after="120"/>
      </w:pPr>
      <w:r>
        <w:rPr>
          <w:rFonts w:ascii="Arial" w:cs="Arial" w:eastAsia="Arial" w:hAnsi="Arial"/>
          <w:sz w:val="22"/>
          <w:szCs w:val="22"/>
        </w:rPr>
        <w:t xml:space="preserve">De Caceres, M., &amp; Legendre, P. (2009). Associations between species and groups of sites. Ecology, 90(12), 3566-3574.</w:t>
      </w:r>
    </w:p>
    <w:p>
      <w:pPr>
        <w:spacing w:after="120"/>
      </w:pPr>
      <w:r>
        <w:rPr>
          <w:rFonts w:ascii="Arial" w:cs="Arial" w:eastAsia="Arial" w:hAnsi="Arial"/>
          <w:sz w:val="22"/>
          <w:szCs w:val="22"/>
        </w:rPr>
        <w:t xml:space="preserve">McCune, B., &amp; Grace, J. B. (2002). Analysis of Ecological Communities. MjM Software, Gleneden Beach, Oregon.</w:t>
      </w:r>
    </w:p>
    <w:p>
      <w:pPr>
        <w:spacing w:after="120"/>
      </w:pPr>
      <w:r>
        <w:rPr>
          <w:rFonts w:ascii="Arial" w:cs="Arial" w:eastAsia="Arial" w:hAnsi="Arial"/>
          <w:sz w:val="22"/>
          <w:szCs w:val="22"/>
        </w:rPr>
        <w:t xml:space="preserve">Oksanen, J., et al. (2022). vegan: Community Ecology Package. https://CRAN.R-project.org/package=vegan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2026-04-15T04:27:06.667Z</dcterms:created>
  <dcterms:modified xsi:type="dcterms:W3CDTF">2026-04-15T04:27:06.667Z</dcterms:modified>
</cp:coreProperties>
</file>

<file path=docProps/custom.xml><?xml version="1.0" encoding="utf-8"?>
<Properties xmlns="http://schemas.openxmlformats.org/officeDocument/2006/custom-properties" xmlns:vt="http://schemas.openxmlformats.org/officeDocument/2006/docPropsVTypes"/>
</file>