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00" w:before="0" w:line="276" w:lineRule="auto"/>
      </w:pPr>
      <w:r>
        <w:rPr>
          <w:b/>
          <w:sz w:val="34"/>
          <w:szCs w:val="34"/>
        </w:rPr>
        <w:t xml:space="preserve">Preliminary Anomaly Detection in Aviation Telemetry Using LSTM Autoencoders and Transformer-Based Association Discrepancy</w:t>
      </w:r>
    </w:p>
    <w:p>
      <w:pPr>
        <w:jc w:val="center"/>
        <w:spacing w:after="240" w:before="0" w:line="276" w:lineRule="auto"/>
      </w:pPr>
      <w:r>
        <w:rPr>
          <w:i/>
          <w:sz w:val="22"/>
          <w:szCs w:val="22"/>
        </w:rPr>
        <w:t xml:space="preserve">Research Manuscript — Aeronautical Decision Support Architecture</w:t>
      </w:r>
    </w:p>
    <w:p>
      <w:pPr>
        <w:spacing w:after="80" w:before="0" w:line="276" w:lineRule="auto"/>
      </w:pPr>
      <w:r>
        <w:rPr>
          <w:b/>
          <w:sz w:val="24"/>
          <w:szCs w:val="24"/>
        </w:rPr>
        <w:t xml:space="preserve">ABSTRACT</w:t>
      </w:r>
    </w:p>
    <w:p>
      <w:pPr>
        <w:spacing w:after="140" w:before="0" w:line="276" w:lineRule="auto"/>
      </w:pPr>
      <w:r>
        <w:rPr>
          <w:sz w:val="22"/>
          <w:szCs w:val="22"/>
        </w:rPr>
        <w:t xml:space="preserve">This paper examines two systematic approaches for assigning statistical anomaly scores to multivariate aircraft telemetry windows: an LSTM autoencoder based on temporal reconstruction error, and an Anomaly Transformer framework leveraging association-discrepancy mechanics. The experimental corpus draws upon open surveillance trajectories associated with squawk 7700 emergency declarations from the OpenSky Network. Our preprocessing pipeline produces 858,878 non-overlapping 15-timestep sequence windows across six primary kinematic features. In the preliminary LSTM baseline, the 99th percentile of validation reconstruction error establishes the operational detection threshold, flagging 1.41% of held-out test windows. A comparative Anomaly Transformer model, trained for three epochs on a 25,000-window subset, flags 11.33% of test windows under association-discrepancy criteria. These flag rates characterize mathematical outlier distributions rather than confirmed diagnostic accuracy, as raw emergency archives lack minute-by-minute ground-truth annotations. The study establishes an empirical baseline for scoring latency and computational efficiency on edge avionics.</w:t>
      </w:r>
    </w:p>
    <w:p>
      <w:pPr>
        <w:spacing w:after="240" w:before="0" w:line="276" w:lineRule="auto"/>
      </w:pPr>
      <w:r>
        <w:rPr>
          <w:i/>
          <w:sz w:val="22"/>
          <w:szCs w:val="22"/>
        </w:rPr>
        <w:t xml:space="preserve">Keywords: Aviation safety, anomaly detection, flight telemetry, OpenSky Network, LSTM autoencoder, Anomaly Transformer, time-series analysis, decision support.</w:t>
      </w:r>
    </w:p>
    <w:p>
      <w:pPr>
        <w:spacing w:after="120" w:before="240" w:line="276" w:lineRule="auto"/>
      </w:pPr>
      <w:r>
        <w:rPr>
          <w:b/>
          <w:sz w:val="26"/>
          <w:szCs w:val="26"/>
        </w:rPr>
        <w:t xml:space="preserve">1. INTRODUCTION</w:t>
      </w:r>
    </w:p>
    <w:p>
      <w:pPr>
        <w:spacing w:after="120" w:before="0" w:line="276" w:lineRule="auto"/>
      </w:pPr>
      <w:r>
        <w:rPr>
          <w:sz w:val="22"/>
          <w:szCs w:val="22"/>
        </w:rPr>
        <w:t xml:space="preserve">Aircraft surveillance systems record continuous changes in position, velocity, and orientation over time. These records enable researchers to analyze dynamic flight patterns and identify observations that deviate from normal operating distributions. Machine-learning models offer practical utility when predefining every conceivable in-flight emergency is impossible. However, an unusual telemetry measurement does not inherently denote an unsafe flight condition; sudden deviations may reflect legitimate flight-crew maneuvers, meteorological avoidance, or sensor dropouts. This investigation treats anomaly detection as a mechanism to surface candidate segments for engineering review, not as an autonomous substitute for safety certification.</w:t>
      </w:r>
    </w:p>
    <w:p>
      <w:pPr>
        <w:spacing w:after="120" w:before="0" w:line="276" w:lineRule="auto"/>
      </w:pPr>
      <w:r>
        <w:rPr>
          <w:sz w:val="22"/>
          <w:szCs w:val="22"/>
        </w:rPr>
        <w:t xml:space="preserve">Aviation safety analysis incorporates flight data monitoring, maintenance logs, operational hazard reports, and expert pilot review. Because raw surveillance data lack window-level emergency annotations, supervised learning is vulnerable to label ambiguity. Unsupervised models circumvent this constraint by learning normative temporal manifolds directly from flight records. This paper compares two distinct unsupervised paradigms—recurrent reconstruction versus attention association discrepancy—evaluating their mathematical score distributions, flagging frequencies, and real-time execution costs.</w:t>
      </w:r>
    </w:p>
    <w:p>
      <w:pPr>
        <w:spacing w:after="120" w:before="240" w:line="276" w:lineRule="auto"/>
      </w:pPr>
      <w:r>
        <w:rPr>
          <w:b/>
          <w:sz w:val="26"/>
          <w:szCs w:val="26"/>
        </w:rPr>
        <w:t xml:space="preserve">2. RELATED WORK</w:t>
      </w:r>
    </w:p>
    <w:p>
      <w:pPr>
        <w:spacing w:after="120" w:before="0" w:line="276" w:lineRule="auto"/>
      </w:pPr>
      <w:r>
        <w:rPr>
          <w:sz w:val="22"/>
          <w:szCs w:val="22"/>
        </w:rPr>
        <w:t xml:space="preserve">Flight-data anomaly detection has evolved from classical statistical envelope monitoring to deep sequence learning. Phase-specific approaches using Flight Operational Quality Assurance (FOQA) data demonstrate that flight regime contextualization is vital, as acceptable parameter rates during takeoff or climb differ markedly from cruise envelopes.</w:t>
      </w:r>
    </w:p>
    <w:p>
      <w:pPr>
        <w:spacing w:after="120" w:before="0" w:line="276" w:lineRule="auto"/>
      </w:pPr>
      <w:r>
        <w:rPr>
          <w:sz w:val="22"/>
          <w:szCs w:val="22"/>
        </w:rPr>
        <w:t xml:space="preserve">Recurrent neural networks and autoencoders compress ordered time-series inputs into lower-dimensional bottlenecks, utilizing reconstruction residuals as deviation proxies. Recent studies by Jiang et al. (2024) and Zhou et al. (2025) demonstrate that spatial-temporal autoencoders capture complex aerodynamics in unmanned aerial vehicles. In parallel, Xu et al. (2022) introduced the Anomaly Transformer, demonstrating that contrasting learned multi-head self-attention against distance-based Gaussian priors identifies subtle temporal association breakdowns.</w:t>
      </w:r>
    </w:p>
    <w:p>
      <w:pPr>
        <w:spacing w:after="120" w:before="240" w:line="276" w:lineRule="auto"/>
      </w:pPr>
      <w:r>
        <w:rPr>
          <w:b/>
          <w:sz w:val="26"/>
          <w:szCs w:val="26"/>
        </w:rPr>
        <w:t xml:space="preserve">3. SYSTEM FRAMEWORK AND PIPELINE DESIGN</w:t>
      </w:r>
    </w:p>
    <w:p>
      <w:pPr>
        <w:spacing w:after="80" w:before="180" w:line="276" w:lineRule="auto"/>
      </w:pPr>
      <w:r>
        <w:rPr>
          <w:b/>
          <w:sz w:val="23"/>
          <w:szCs w:val="23"/>
        </w:rPr>
        <w:t xml:space="preserve">3.1. Overview and Operational Framing</w:t>
      </w:r>
    </w:p>
    <w:p>
      <w:pPr>
        <w:spacing w:after="120" w:before="0" w:line="276" w:lineRule="auto"/>
      </w:pPr>
      <w:r>
        <w:rPr>
          <w:sz w:val="22"/>
          <w:szCs w:val="22"/>
        </w:rPr>
        <w:t xml:space="preserve">The presented pipeline implements an unsupervised methodology for assigning anomaly scores to multivariate aircraft trajectories. OpenSky surveillance archives for trajectories broadcasting squawk code 7700 represent declared emergency situations; however, these records lack fine-grained, ground-truth annotations specifying the exact timing of component failures, atmospheric disturbances, or flight-crew interventions.</w:t>
      </w:r>
    </w:p>
    <w:p>
      <w:pPr>
        <w:spacing w:after="120" w:before="0" w:line="276" w:lineRule="auto"/>
      </w:pPr>
      <w:r>
        <w:rPr>
          <w:sz w:val="22"/>
          <w:szCs w:val="22"/>
        </w:rPr>
        <w:t xml:space="preserve">To accommodate this observational constraint, the system is explicitly framed as an unsupervised temporal deviation detector rather than a predictive classifier. The processing pipeline ingests continuous telemetry streams, enforces strict segment-level isolation to prevent data leakage, and compares two sequence-learning paradigms:</w:t>
      </w:r>
    </w:p>
    <w:p>
      <w:pPr>
        <w:spacing w:after="40" w:before="0" w:line="276" w:lineRule="auto"/>
      </w:pPr>
      <w:r>
        <w:rPr>
          <w:sz w:val="22"/>
          <w:szCs w:val="22"/>
        </w:rPr>
        <w:t xml:space="preserve">1. Pointwise trajectory reconstruction using a deep Long Short-Term Memory (LSTM) autoencoder.</w:t>
      </w:r>
    </w:p>
    <w:p>
      <w:pPr>
        <w:spacing w:after="100" w:before="0" w:line="276" w:lineRule="auto"/>
      </w:pPr>
      <w:r>
        <w:rPr>
          <w:sz w:val="22"/>
          <w:szCs w:val="22"/>
        </w:rPr>
        <w:t xml:space="preserve">2. Association-discrepancy modeling using an Anomaly Transformer structure that evaluates distances between learned self-attention distributions and Gaussian priors.</w:t>
      </w:r>
    </w:p>
    <w:p>
      <w:pPr>
        <w:jc w:val="center"/>
        <w:spacing w:after="80" w:before="140"/>
      </w:pPr>
      <w:r>
        <w:drawing>
          <wp:inline xmlns:wp="http://schemas.openxmlformats.org/drawingml/2006/wordprocessingDrawing" distT="0" distB="0" distL="0" distR="0">
            <wp:extent cx="5029200" cy="3749040"/>
            <wp:docPr id="1" name="combined_dataset_flowchart.png"/>
            <a:graphic xmlns:a="http://schemas.openxmlformats.org/drawingml/2006/main">
              <a:graphicData uri="http://schemas.openxmlformats.org/drawingml/2006/picture">
                <pic:pic xmlns:pic="http://schemas.openxmlformats.org/drawingml/2006/picture">
                  <pic:nvPicPr>
                    <pic:cNvPr id="1" name="combined_dataset_flowchart.png"/>
                    <pic:cNvPicPr/>
                  </pic:nvPicPr>
                  <pic:blipFill>
                    <a:blip xmlns:r="http://schemas.openxmlformats.org/officeDocument/2006/relationships" r:embed="rIdImg1"/>
                    <a:stretch>
                      <a:fillRect/>
                    </a:stretch>
                  </pic:blipFill>
                  <pic:spPr>
                    <a:xfrm>
                      <a:off x="0" y="0"/>
                      <a:ext cx="5029200" cy="3749040"/>
                    </a:xfrm>
                    <a:prstGeom prst="rect">
                      <a:avLst/>
                    </a:prstGeom>
                  </pic:spPr>
                </pic:pic>
              </a:graphicData>
            </a:graphic>
          </wp:inline>
        </w:drawing>
      </w:r>
    </w:p>
    <w:p>
      <w:pPr>
        <w:jc w:val="center"/>
        <w:spacing w:after="140" w:before="0" w:line="276" w:lineRule="auto"/>
      </w:pPr>
      <w:r>
        <w:rPr>
          <w:i/>
          <w:sz w:val="20"/>
          <w:szCs w:val="20"/>
        </w:rPr>
        <w:t xml:space="preserve">Fig. 1. End-to-end telemetry ingestion, flight segmentation, 12-dimensional aerodynamic feature extraction, and leakage-controlled 80:20 partitioning.</w:t>
      </w:r>
    </w:p>
    <w:p>
      <w:pPr>
        <w:spacing w:after="80" w:before="180" w:line="276" w:lineRule="auto"/>
      </w:pPr>
      <w:r>
        <w:rPr>
          <w:b/>
          <w:sz w:val="23"/>
          <w:szCs w:val="23"/>
        </w:rPr>
        <w:t xml:space="preserve">3.2. Data Ingestion and Primary Parameters</w:t>
      </w:r>
    </w:p>
    <w:p>
      <w:pPr>
        <w:spacing w:after="120" w:before="0" w:line="276" w:lineRule="auto"/>
      </w:pPr>
      <w:r>
        <w:rPr>
          <w:sz w:val="22"/>
          <w:szCs w:val="22"/>
        </w:rPr>
        <w:t xml:space="preserve">The experiments utilize the OpenSky Network Emergency Trajectory Dataset, spanning flight records from January 2018 through January 2020. From the raw archive containing 4,344,359 individual records, six core kinematic and spatial variables were selected: barometric altitude (h), groundspeed (Vg), track angle (psi), vertical speed (h_dot), latitude, and longitude.</w:t>
      </w:r>
    </w:p>
    <w:p>
      <w:pPr>
        <w:spacing w:after="120" w:before="0" w:line="276" w:lineRule="auto"/>
      </w:pPr>
      <w:r>
        <w:rPr>
          <w:sz w:val="22"/>
          <w:szCs w:val="22"/>
        </w:rPr>
        <w:t xml:space="preserve">Because the source dataset is restricted to squawk 7700 transmissions, the telemetry represents non-standard operational envelopes. Models trained on these sequences learn the baseline behavior of emergency-associated flights; flagged sequences thus represent extreme deviations within an already anomalous trajectory population.</w:t>
      </w:r>
    </w:p>
    <w:p>
      <w:pPr>
        <w:spacing w:after="80" w:before="180" w:line="276" w:lineRule="auto"/>
      </w:pPr>
      <w:r>
        <w:rPr>
          <w:b/>
          <w:sz w:val="23"/>
          <w:szCs w:val="23"/>
        </w:rPr>
        <w:t xml:space="preserve">3.3. Trajectory Preprocessing and Quality Filtering</w:t>
      </w:r>
    </w:p>
    <w:p>
      <w:pPr>
        <w:spacing w:after="120" w:before="0" w:line="276" w:lineRule="auto"/>
      </w:pPr>
      <w:r>
        <w:rPr>
          <w:sz w:val="22"/>
          <w:szCs w:val="22"/>
        </w:rPr>
        <w:t xml:space="preserve">Raw surveillance telemetry contains missing values and sensor noise that can distort score metrics. Linear interpolation was applied to short internal gaps, and unphysical values (such as altitudes outside -2,000 ft to 60,000 ft or groundspeeds exceeding 1,200 knots) were excluded, retaining 4,304,188 valid observations.</w:t>
      </w:r>
    </w:p>
    <w:p>
      <w:pPr>
        <w:spacing w:after="120" w:before="0" w:line="276" w:lineRule="auto"/>
      </w:pPr>
      <w:r>
        <w:rPr>
          <w:sz w:val="22"/>
          <w:szCs w:val="22"/>
        </w:rPr>
        <w:t xml:space="preserve">Flight boundaries were established by identifying temporal interruptions. Consecutive transmissions from the same callsign separated by more than 30 minutes were split into distinct flight segments, yielding 823 continuous trajectories.</w:t>
      </w:r>
    </w:p>
    <w:p>
      <w:pPr>
        <w:spacing w:after="80" w:before="180" w:line="276" w:lineRule="auto"/>
      </w:pPr>
      <w:r>
        <w:rPr>
          <w:b/>
          <w:sz w:val="23"/>
          <w:szCs w:val="23"/>
        </w:rPr>
        <w:t xml:space="preserve">3.4. Window Extraction and Sequence Construction</w:t>
      </w:r>
    </w:p>
    <w:p>
      <w:pPr>
        <w:spacing w:after="120" w:before="0" w:line="276" w:lineRule="auto"/>
      </w:pPr>
      <w:r>
        <w:rPr>
          <w:sz w:val="22"/>
          <w:szCs w:val="22"/>
        </w:rPr>
        <w:t xml:space="preserve">Continuous segments were partitioned into fixed-length sequence windows. Each window contains T = 15 consecutive steps extracted with a stride of S = 5 timesteps, maintaining temporal continuity across overlapping samples.</w:t>
      </w:r>
    </w:p>
    <w:p>
      <w:pPr>
        <w:spacing w:after="120" w:before="0" w:line="276" w:lineRule="auto"/>
      </w:pPr>
      <w:r>
        <w:rPr>
          <w:sz w:val="22"/>
          <w:szCs w:val="22"/>
        </w:rPr>
        <w:t xml:space="preserve">At timestep t, the kinematic state is represented by a 6-element feature vector:</w:t>
      </w:r>
    </w:p>
    <w:p>
      <w:pPr>
        <w:jc w:val="center"/>
        <w:spacing w:after="100" w:before="0" w:line="276" w:lineRule="auto"/>
      </w:pPr>
      <w:r>
        <w:rPr>
          <w:b/>
          <w:sz w:val="22"/>
          <w:szCs w:val="22"/>
        </w:rPr>
        <w:t xml:space="preserve">x_t = [ h_t,  V_g,t,  ψ_t,  h_dot_t,  lat_t,  lon_t ]^T ∈ R^6</w:t>
      </w:r>
    </w:p>
    <w:p>
      <w:pPr>
        <w:spacing w:after="120" w:before="0" w:line="276" w:lineRule="auto"/>
      </w:pPr>
      <w:r>
        <w:rPr>
          <w:sz w:val="22"/>
          <w:szCs w:val="22"/>
        </w:rPr>
        <w:t xml:space="preserve">A complete sequential window X is formulated as:</w:t>
      </w:r>
    </w:p>
    <w:p>
      <w:pPr>
        <w:jc w:val="center"/>
        <w:spacing w:after="120" w:before="0" w:line="276" w:lineRule="auto"/>
      </w:pPr>
      <w:r>
        <w:rPr>
          <w:b/>
          <w:sz w:val="22"/>
          <w:szCs w:val="22"/>
        </w:rPr>
        <w:t xml:space="preserve">X = [ x_1,  x_2,  ...,  x_15 ]^T ∈ R^(15 × 6)</w:t>
      </w:r>
    </w:p>
    <w:p>
      <w:pPr>
        <w:spacing w:after="120" w:before="0" w:line="276" w:lineRule="auto"/>
      </w:pPr>
      <w:r>
        <w:rPr>
          <w:sz w:val="22"/>
          <w:szCs w:val="22"/>
        </w:rPr>
        <w:t xml:space="preserve">This sliding-window procedure produced approximately 858,878 telemetry windows.</w:t>
      </w:r>
    </w:p>
    <w:p>
      <w:pPr>
        <w:spacing w:after="80" w:before="180" w:line="276" w:lineRule="auto"/>
      </w:pPr>
      <w:r>
        <w:rPr>
          <w:b/>
          <w:sz w:val="23"/>
          <w:szCs w:val="23"/>
        </w:rPr>
        <w:t xml:space="preserve">3.5. Leakage-Controlled Data Partitioning</w:t>
      </w:r>
    </w:p>
    <w:p>
      <w:pPr>
        <w:spacing w:after="120" w:before="0" w:line="276" w:lineRule="auto"/>
      </w:pPr>
      <w:r>
        <w:rPr>
          <w:sz w:val="22"/>
          <w:szCs w:val="22"/>
        </w:rPr>
        <w:t xml:space="preserve">Random partitioning of overlapping windows introduces severe data leakage between splits. To prevent this, data assignment was conducted strictly at the flight-segment level:</w:t>
      </w:r>
    </w:p>
    <w:p>
      <w:pPr>
        <w:spacing w:after="40" w:before="0" w:line="276" w:lineRule="auto"/>
      </w:pPr>
      <w:r>
        <w:rPr>
          <w:sz w:val="22"/>
          <w:szCs w:val="22"/>
        </w:rPr>
        <w:t xml:space="preserve">• Training set: 576 flight segments (590,452 windows).</w:t>
      </w:r>
    </w:p>
    <w:p>
      <w:pPr>
        <w:spacing w:after="40" w:before="0" w:line="276" w:lineRule="auto"/>
      </w:pPr>
      <w:r>
        <w:rPr>
          <w:sz w:val="22"/>
          <w:szCs w:val="22"/>
        </w:rPr>
        <w:t xml:space="preserve">• Validation set: 123 flight segments (137,142 windows).</w:t>
      </w:r>
    </w:p>
    <w:p>
      <w:pPr>
        <w:spacing w:after="100" w:before="0" w:line="276" w:lineRule="auto"/>
      </w:pPr>
      <w:r>
        <w:rPr>
          <w:sz w:val="22"/>
          <w:szCs w:val="22"/>
        </w:rPr>
        <w:t xml:space="preserve">• Held-out test set: 124 flight segments (137,212 windows).</w:t>
      </w:r>
    </w:p>
    <w:p>
      <w:pPr>
        <w:spacing w:after="120" w:before="0" w:line="276" w:lineRule="auto"/>
      </w:pPr>
      <w:r>
        <w:rPr>
          <w:sz w:val="22"/>
          <w:szCs w:val="22"/>
        </w:rPr>
        <w:t xml:space="preserve">Feature scaling statistics (mean and standard deviation) were derived solely from the training split to avoid lookahead bias.</w:t>
      </w:r>
    </w:p>
    <w:p>
      <w:pPr>
        <w:spacing w:after="120" w:before="240" w:line="276" w:lineRule="auto"/>
      </w:pPr>
      <w:r>
        <w:rPr>
          <w:b/>
          <w:sz w:val="26"/>
          <w:szCs w:val="26"/>
        </w:rPr>
        <w:t xml:space="preserve">4. METHODOLOGY AND MODEL ARCHITECTURES</w:t>
      </w:r>
    </w:p>
    <w:p>
      <w:pPr>
        <w:jc w:val="center"/>
        <w:spacing w:after="80" w:before="140"/>
      </w:pPr>
      <w:r>
        <w:drawing>
          <wp:inline xmlns:wp="http://schemas.openxmlformats.org/drawingml/2006/wordprocessingDrawing" distT="0" distB="0" distL="0" distR="0">
            <wp:extent cx="4846320" cy="6507680"/>
            <wp:docPr id="2" name="ml_architecture_diagram.png"/>
            <a:graphic xmlns:a="http://schemas.openxmlformats.org/drawingml/2006/main">
              <a:graphicData uri="http://schemas.openxmlformats.org/drawingml/2006/picture">
                <pic:pic xmlns:pic="http://schemas.openxmlformats.org/drawingml/2006/picture">
                  <pic:nvPicPr>
                    <pic:cNvPr id="2" name="ml_architecture_diagram.png"/>
                    <pic:cNvPicPr/>
                  </pic:nvPicPr>
                  <pic:blipFill>
                    <a:blip xmlns:r="http://schemas.openxmlformats.org/officeDocument/2006/relationships" r:embed="rIdImg2"/>
                    <a:stretch>
                      <a:fillRect/>
                    </a:stretch>
                  </pic:blipFill>
                  <pic:spPr>
                    <a:xfrm>
                      <a:off x="0" y="0"/>
                      <a:ext cx="4846320" cy="6507680"/>
                    </a:xfrm>
                    <a:prstGeom prst="rect">
                      <a:avLst/>
                    </a:prstGeom>
                  </pic:spPr>
                </pic:pic>
              </a:graphicData>
            </a:graphic>
          </wp:inline>
        </w:drawing>
      </w:r>
    </w:p>
    <w:p>
      <w:pPr>
        <w:jc w:val="center"/>
        <w:spacing w:after="140" w:before="0" w:line="276" w:lineRule="auto"/>
      </w:pPr>
      <w:r>
        <w:rPr>
          <w:i/>
          <w:sz w:val="20"/>
          <w:szCs w:val="20"/>
        </w:rPr>
        <w:t xml:space="preserve">Fig. 2. End-to-end multi-task deep sequence learning architecture for aviation telemetry: (Tier 1) Multi-source aviation data ingestion and 12-dimensional aerodynamic feature engineering; (Tier 2) Tri-engine machine learning and deep learning suite comprising BiLSTM action classifier, continuous flight risk regressor, and dual temporal anomaly detectors; (Tier 3) In-memory NumPy inference runtime delivering 2.1 ms cockpit execution latency.</w:t>
      </w:r>
    </w:p>
    <w:p>
      <w:pPr>
        <w:spacing w:after="80" w:before="180" w:line="276" w:lineRule="auto"/>
      </w:pPr>
      <w:r>
        <w:rPr>
          <w:b/>
          <w:sz w:val="23"/>
          <w:szCs w:val="23"/>
        </w:rPr>
        <w:t xml:space="preserve">4.1. Sequence Reconstruction Formulations</w:t>
      </w:r>
    </w:p>
    <w:p>
      <w:pPr>
        <w:spacing w:after="120" w:before="0" w:line="276" w:lineRule="auto"/>
      </w:pPr>
      <w:r>
        <w:rPr>
          <w:sz w:val="22"/>
          <w:szCs w:val="22"/>
        </w:rPr>
        <w:t xml:space="preserve">Given an input window X (T=15, F=6), an autoencoding model maps the sequence to a parameterized reconstruction X_hat. The underlying assumption is that typical flight patterns are reconstructed accurately, whereas unusual control inputs or transient dynamics yield higher reconstruction residuals.</w:t>
      </w:r>
    </w:p>
    <w:p>
      <w:pPr>
        <w:spacing w:after="80" w:before="180" w:line="276" w:lineRule="auto"/>
      </w:pPr>
      <w:r>
        <w:rPr>
          <w:b/>
          <w:sz w:val="23"/>
          <w:szCs w:val="23"/>
        </w:rPr>
        <w:t xml:space="preserve">4.2. Performance Metrics</w:t>
      </w:r>
    </w:p>
    <w:p>
      <w:pPr>
        <w:spacing w:after="120" w:before="0" w:line="276" w:lineRule="auto"/>
      </w:pPr>
      <w:r>
        <w:rPr>
          <w:sz w:val="22"/>
          <w:szCs w:val="22"/>
        </w:rPr>
        <w:t xml:space="preserve">To summarize reconstruction fidelity across evaluation sequences, three statistical criteria were tracked:</w:t>
      </w:r>
    </w:p>
    <w:p>
      <w:pPr>
        <w:spacing w:after="40" w:before="0" w:line="276" w:lineRule="auto"/>
      </w:pPr>
      <w:r>
        <w:rPr>
          <w:sz w:val="22"/>
          <w:szCs w:val="22"/>
        </w:rPr>
        <w:t xml:space="preserve">1. Mean Absolute Error (MAE): The average absolute residual across all features and timesteps in a window.</w:t>
      </w:r>
    </w:p>
    <w:p>
      <w:pPr>
        <w:jc w:val="center"/>
        <w:spacing w:after="80" w:before="0" w:line="276" w:lineRule="auto"/>
      </w:pPr>
      <w:r>
        <w:rPr>
          <w:i/>
          <w:sz w:val="22"/>
          <w:szCs w:val="22"/>
        </w:rPr>
        <w:t xml:space="preserve">MAE(X, X_hat) = (1 / (T · F)) · Σ Σ |x_t,f - x_hat_t,f|</w:t>
      </w:r>
    </w:p>
    <w:p>
      <w:pPr>
        <w:spacing w:after="40" w:before="0" w:line="276" w:lineRule="auto"/>
      </w:pPr>
      <w:r>
        <w:rPr>
          <w:sz w:val="22"/>
          <w:szCs w:val="22"/>
        </w:rPr>
        <w:t xml:space="preserve">2. Root Mean Squared Error (RMSE): The square root of squared residuals, emphasizing larger momentary deviations.</w:t>
      </w:r>
    </w:p>
    <w:p>
      <w:pPr>
        <w:jc w:val="center"/>
        <w:spacing w:after="80" w:before="0" w:line="276" w:lineRule="auto"/>
      </w:pPr>
      <w:r>
        <w:rPr>
          <w:i/>
          <w:sz w:val="22"/>
          <w:szCs w:val="22"/>
        </w:rPr>
        <w:t xml:space="preserve">RMSE(X, X_hat) = sqrt( (1 / (T · F)) · Σ Σ (x_t,f - x_hat_t,f)^2 )</w:t>
      </w:r>
    </w:p>
    <w:p>
      <w:pPr>
        <w:spacing w:after="120" w:before="0" w:line="276" w:lineRule="auto"/>
      </w:pPr>
      <w:r>
        <w:rPr>
          <w:sz w:val="22"/>
          <w:szCs w:val="22"/>
        </w:rPr>
        <w:t xml:space="preserve">3. Coefficient of Determination (R^2): The fraction of sequence variance accounted for by the reconstruction.</w:t>
      </w:r>
    </w:p>
    <w:p>
      <w:pPr>
        <w:spacing w:after="80" w:before="180" w:line="276" w:lineRule="auto"/>
      </w:pPr>
      <w:r>
        <w:rPr>
          <w:b/>
          <w:sz w:val="23"/>
          <w:szCs w:val="23"/>
        </w:rPr>
        <w:t xml:space="preserve">4.3. Baseline LSTM Autoencoder (Model E1)</w:t>
      </w:r>
    </w:p>
    <w:p>
      <w:pPr>
        <w:spacing w:after="120" w:before="0" w:line="276" w:lineRule="auto"/>
      </w:pPr>
      <w:r>
        <w:rPr>
          <w:sz w:val="22"/>
          <w:szCs w:val="22"/>
        </w:rPr>
        <w:t xml:space="preserve">The baseline model compresses the 15-timestep trajectory into a hidden state vector before generating a reconstructed sequence. The encoder network uses a single LSTM layer with 64 units, passing its final hidden state as the compressed latent context.</w:t>
      </w:r>
    </w:p>
    <w:p>
      <w:pPr>
        <w:spacing w:after="120" w:before="0" w:line="276" w:lineRule="auto"/>
      </w:pPr>
      <w:r>
        <w:rPr>
          <w:sz w:val="22"/>
          <w:szCs w:val="22"/>
        </w:rPr>
        <w:t xml:space="preserve">The decoder replicates this context across 15 time steps, processes it with an unrolling LSTM layer (64 hidden units), and projects the output to six features using a linear layer. Model parameters were optimized against Mean Squared Error (MSE) using Adam (learning rate = 0.001, batch size = 512).</w:t>
      </w:r>
    </w:p>
    <w:p>
      <w:pPr>
        <w:spacing w:after="120" w:before="0" w:line="276" w:lineRule="auto"/>
      </w:pPr>
      <w:r>
        <w:rPr>
          <w:sz w:val="22"/>
          <w:szCs w:val="22"/>
        </w:rPr>
        <w:t xml:space="preserve">Anomaly scoring relies on sequence MAE. The detection threshold τ was established at the 99th percentile of validation errors (τ = 0.0825).</w:t>
      </w:r>
    </w:p>
    <w:p>
      <w:pPr>
        <w:spacing w:after="80" w:before="180" w:line="276" w:lineRule="auto"/>
      </w:pPr>
      <w:r>
        <w:rPr>
          <w:b/>
          <w:sz w:val="23"/>
          <w:szCs w:val="23"/>
        </w:rPr>
        <w:t xml:space="preserve">4.4. Association-Discrepancy Transformer (Model E2)</w:t>
      </w:r>
    </w:p>
    <w:p>
      <w:pPr>
        <w:spacing w:after="120" w:before="0" w:line="276" w:lineRule="auto"/>
      </w:pPr>
      <w:r>
        <w:rPr>
          <w:sz w:val="22"/>
          <w:szCs w:val="22"/>
        </w:rPr>
        <w:t xml:space="preserve">In contrast to pure reconstruction, the Transformer variant evaluates temporal relationships between timesteps via association discrepancies:</w:t>
      </w:r>
    </w:p>
    <w:p>
      <w:pPr>
        <w:spacing w:after="40" w:before="0" w:line="276" w:lineRule="auto"/>
      </w:pPr>
      <w:r>
        <w:rPr>
          <w:sz w:val="22"/>
          <w:szCs w:val="22"/>
        </w:rPr>
        <w:t xml:space="preserve">• Series Association (S_assoc): Derived from multi-head self-attention weights to reflect sequence-wide dependencies.</w:t>
      </w:r>
    </w:p>
    <w:p>
      <w:pPr>
        <w:spacing w:after="40" w:before="0" w:line="276" w:lineRule="auto"/>
      </w:pPr>
      <w:r>
        <w:rPr>
          <w:sz w:val="22"/>
          <w:szCs w:val="22"/>
        </w:rPr>
        <w:t xml:space="preserve">• Prior Association (P_assoc): Imposes a distance-based Gaussian prior centered on each position to model localized temporal context.</w:t>
      </w:r>
    </w:p>
    <w:p>
      <w:pPr>
        <w:spacing w:after="40" w:before="0" w:line="276" w:lineRule="auto"/>
      </w:pPr>
      <w:r>
        <w:rPr>
          <w:sz w:val="22"/>
          <w:szCs w:val="22"/>
        </w:rPr>
        <w:t xml:space="preserve">• Association Discrepancy: Calculated using symmetric Kullback-Leibler (KL) divergence between Series and Prior distributions.</w:t>
      </w:r>
    </w:p>
    <w:p>
      <w:pPr>
        <w:spacing w:after="120" w:before="0" w:line="276" w:lineRule="auto"/>
      </w:pPr>
      <w:r>
        <w:rPr>
          <w:sz w:val="22"/>
          <w:szCs w:val="22"/>
        </w:rPr>
        <w:t xml:space="preserve">• Composite Anomaly Score: Formulated as reconstruction error weighted by the softmax of inverted association discrepancies. The decision threshold τ was calibrated at the 99th percentile of validation scores (τ = 0.003329).</w:t>
      </w:r>
    </w:p>
    <w:p>
      <w:pPr>
        <w:spacing w:after="120" w:before="240" w:line="276" w:lineRule="auto"/>
      </w:pPr>
      <w:r>
        <w:rPr>
          <w:b/>
          <w:sz w:val="26"/>
          <w:szCs w:val="26"/>
        </w:rPr>
        <w:t xml:space="preserve">5. EXPERIMENTAL RESULTS AND EVALUATION</w:t>
      </w:r>
    </w:p>
    <w:p>
      <w:pPr>
        <w:spacing w:after="80" w:before="180" w:line="276" w:lineRule="auto"/>
      </w:pPr>
      <w:r>
        <w:rPr>
          <w:b/>
          <w:sz w:val="23"/>
          <w:szCs w:val="23"/>
        </w:rPr>
        <w:t xml:space="preserve">5.1. Reconstruction Fidelity and Flagging Rates</w:t>
      </w:r>
    </w:p>
    <w:p>
      <w:pPr>
        <w:spacing w:after="120" w:before="0" w:line="276" w:lineRule="auto"/>
      </w:pPr>
      <w:r>
        <w:rPr>
          <w:sz w:val="22"/>
          <w:szCs w:val="22"/>
        </w:rPr>
        <w:t xml:space="preserve">Table 1 summarizes evaluation metrics across the held-out test split (137,212 windows). The preliminary LSTM autoencoder maintained a mean MAE of 0.0163 and an RMSE of 0.0248 across normalized features, flagging 1.41% of windows above its calibrated threshold.</w:t>
      </w:r>
    </w:p>
    <w:tbl>
      <w:tblPr>
        <w:tblW w:w="9360" w:type="dxa"/>
        <w:jc w:val="center"/>
        <w:tblBorders>
          <w:top w:val="single" w:sz="12" w:space="0" w:color="000000"/>
          <w:bottom w:val="single" w:sz="12" w:space="0" w:color="000000"/>
          <w:insideH w:val="single" w:sz="4" w:space="0" w:color="D3D3D3"/>
          <w:insideV w:val="none"/>
          <w:left w:val="none"/>
          <w:right w:val="none"/>
        </w:tblBorders>
        <w:tblCellMar>
          <w:top w:w="120" w:type="dxa"/>
          <w:left w:w="160" w:type="dxa"/>
          <w:bottom w:w="120" w:type="dxa"/>
          <w:right w:w="160" w:type="dxa"/>
        </w:tblCellMar>
      </w:tblPr>
      <w:tblGrid>
        <w:gridCol w:w="3960"/>
        <w:gridCol w:w="2700"/>
        <w:gridCol w:w="2700"/>
      </w:tblGrid>
      <w:tr>
        <w:trPr>
          <w:tblHeader/>
          <w:cantSplit/>
        </w:trPr>
        <w:tc>
          <w:tcPr>
            <w:tcW w:w="3960" w:type="dxa"/>
            <w:tcBorders>
              <w:bottom w:val="single" w:sz="12" w:space="0" w:color="000000"/>
            </w:tcBorders>
            <w:shd w:val="clear" w:color="auto" w:fill="F2F4F7"/>
          </w:tcPr>
          <w:p>
            <w:pPr>
              <w:spacing w:after="60" w:before="40" w:line="276" w:lineRule="auto"/>
            </w:pPr>
            <w:r>
              <w:rPr>
                <w:b/>
                <w:sz w:val="20"/>
                <w:szCs w:val="20"/>
              </w:rPr>
              <w:t xml:space="preserve">Evaluation Metric / Dimension</w:t>
            </w:r>
          </w:p>
        </w:tc>
        <w:tc>
          <w:tcPr>
            <w:tcW w:w="2700" w:type="dxa"/>
            <w:tcBorders>
              <w:bottom w:val="single" w:sz="12" w:space="0" w:color="000000"/>
            </w:tcBorders>
            <w:shd w:val="clear" w:color="auto" w:fill="F2F4F7"/>
          </w:tcPr>
          <w:p>
            <w:pPr>
              <w:jc w:val="center"/>
              <w:spacing w:after="60" w:before="40" w:line="276" w:lineRule="auto"/>
            </w:pPr>
            <w:r>
              <w:rPr>
                <w:b/>
                <w:sz w:val="20"/>
                <w:szCs w:val="20"/>
              </w:rPr>
              <w:t xml:space="preserve">LSTM Autoencoder (E1)</w:t>
            </w:r>
          </w:p>
        </w:tc>
        <w:tc>
          <w:tcPr>
            <w:tcW w:w="2700" w:type="dxa"/>
            <w:tcBorders>
              <w:bottom w:val="single" w:sz="12" w:space="0" w:color="000000"/>
            </w:tcBorders>
            <w:shd w:val="clear" w:color="auto" w:fill="F2F4F7"/>
          </w:tcPr>
          <w:p>
            <w:pPr>
              <w:jc w:val="center"/>
              <w:spacing w:after="60" w:before="40" w:line="276" w:lineRule="auto"/>
            </w:pPr>
            <w:r>
              <w:rPr>
                <w:b/>
                <w:sz w:val="20"/>
                <w:szCs w:val="20"/>
              </w:rPr>
              <w:t xml:space="preserve">Anomaly Transformer (E2)</w:t>
            </w:r>
          </w:p>
        </w:tc>
      </w:tr>
      <w:tr>
        <w:trPr>
          <w:cantSplit/>
        </w:trPr>
        <w:tc>
          <w:tcPr>
            <w:tcW w:w="3960" w:type="dxa"/>
            <w:shd w:val="clear" w:color="auto" w:fill="FFFFFF"/>
          </w:tcPr>
          <w:p>
            <w:pPr>
              <w:spacing w:after="50" w:before="40" w:line="276" w:lineRule="auto"/>
            </w:pPr>
            <w:r>
              <w:rPr>
                <w:b/>
                <w:sz w:val="19"/>
                <w:szCs w:val="19"/>
              </w:rPr>
              <w:t xml:space="preserve">Model Architecture &amp; Depth</w:t>
            </w:r>
          </w:p>
        </w:tc>
        <w:tc>
          <w:tcPr>
            <w:tcW w:w="2700" w:type="dxa"/>
            <w:shd w:val="clear" w:color="auto" w:fill="FFFFFF"/>
          </w:tcPr>
          <w:p>
            <w:pPr>
              <w:jc w:val="center"/>
              <w:spacing w:after="50" w:before="40" w:line="276" w:lineRule="auto"/>
            </w:pPr>
            <w:r>
              <w:rPr>
                <w:sz w:val="19"/>
                <w:szCs w:val="19"/>
              </w:rPr>
              <w:t xml:space="preserve">1-Layer LSTM (64 Units)</w:t>
            </w:r>
          </w:p>
        </w:tc>
        <w:tc>
          <w:tcPr>
            <w:tcW w:w="2700" w:type="dxa"/>
            <w:shd w:val="clear" w:color="auto" w:fill="FFFFFF"/>
          </w:tcPr>
          <w:p>
            <w:pPr>
              <w:jc w:val="center"/>
              <w:spacing w:after="50" w:before="40" w:line="276" w:lineRule="auto"/>
            </w:pPr>
            <w:r>
              <w:rPr>
                <w:sz w:val="19"/>
                <w:szCs w:val="19"/>
              </w:rPr>
              <w:t xml:space="preserve">Multi-Head Attention + Prior</w:t>
            </w:r>
          </w:p>
        </w:tc>
      </w:tr>
      <w:tr>
        <w:trPr>
          <w:cantSplit/>
        </w:trPr>
        <w:tc>
          <w:tcPr>
            <w:tcW w:w="3960" w:type="dxa"/>
            <w:shd w:val="clear" w:color="auto" w:fill="F9FAFB"/>
          </w:tcPr>
          <w:p>
            <w:pPr>
              <w:spacing w:after="50" w:before="40" w:line="276" w:lineRule="auto"/>
            </w:pPr>
            <w:r>
              <w:rPr>
                <w:b/>
                <w:sz w:val="19"/>
                <w:szCs w:val="19"/>
              </w:rPr>
              <w:t xml:space="preserve">Sequence Dimensions (T × F)</w:t>
            </w:r>
          </w:p>
        </w:tc>
        <w:tc>
          <w:tcPr>
            <w:tcW w:w="2700" w:type="dxa"/>
            <w:shd w:val="clear" w:color="auto" w:fill="F9FAFB"/>
          </w:tcPr>
          <w:p>
            <w:pPr>
              <w:jc w:val="center"/>
              <w:spacing w:after="50" w:before="40" w:line="276" w:lineRule="auto"/>
            </w:pPr>
            <w:r>
              <w:rPr>
                <w:sz w:val="19"/>
                <w:szCs w:val="19"/>
              </w:rPr>
              <w:t xml:space="preserve">15 timesteps × 6 features</w:t>
            </w:r>
          </w:p>
        </w:tc>
        <w:tc>
          <w:tcPr>
            <w:tcW w:w="2700" w:type="dxa"/>
            <w:shd w:val="clear" w:color="auto" w:fill="F9FAFB"/>
          </w:tcPr>
          <w:p>
            <w:pPr>
              <w:jc w:val="center"/>
              <w:spacing w:after="50" w:before="40" w:line="276" w:lineRule="auto"/>
            </w:pPr>
            <w:r>
              <w:rPr>
                <w:sz w:val="19"/>
                <w:szCs w:val="19"/>
              </w:rPr>
              <w:t xml:space="preserve">15 timesteps × 6 features</w:t>
            </w:r>
          </w:p>
        </w:tc>
      </w:tr>
      <w:tr>
        <w:trPr>
          <w:cantSplit/>
        </w:trPr>
        <w:tc>
          <w:tcPr>
            <w:tcW w:w="3960" w:type="dxa"/>
            <w:shd w:val="clear" w:color="auto" w:fill="FFFFFF"/>
          </w:tcPr>
          <w:p>
            <w:pPr>
              <w:spacing w:after="50" w:before="40" w:line="276" w:lineRule="auto"/>
            </w:pPr>
            <w:r>
              <w:rPr>
                <w:b/>
                <w:sz w:val="19"/>
                <w:szCs w:val="19"/>
              </w:rPr>
              <w:t xml:space="preserve">Training Windows</w:t>
            </w:r>
          </w:p>
        </w:tc>
        <w:tc>
          <w:tcPr>
            <w:tcW w:w="2700" w:type="dxa"/>
            <w:shd w:val="clear" w:color="auto" w:fill="FFFFFF"/>
          </w:tcPr>
          <w:p>
            <w:pPr>
              <w:jc w:val="center"/>
              <w:spacing w:after="50" w:before="40" w:line="276" w:lineRule="auto"/>
            </w:pPr>
            <w:r>
              <w:rPr>
                <w:sz w:val="19"/>
                <w:szCs w:val="19"/>
              </w:rPr>
              <w:t xml:space="preserve">590,452 (1 Epoch)</w:t>
            </w:r>
          </w:p>
        </w:tc>
        <w:tc>
          <w:tcPr>
            <w:tcW w:w="2700" w:type="dxa"/>
            <w:shd w:val="clear" w:color="auto" w:fill="FFFFFF"/>
          </w:tcPr>
          <w:p>
            <w:pPr>
              <w:jc w:val="center"/>
              <w:spacing w:after="50" w:before="40" w:line="276" w:lineRule="auto"/>
            </w:pPr>
            <w:r>
              <w:rPr>
                <w:sz w:val="19"/>
                <w:szCs w:val="19"/>
              </w:rPr>
              <w:t xml:space="preserve">25,000 (3 Epochs)</w:t>
            </w:r>
          </w:p>
        </w:tc>
      </w:tr>
      <w:tr>
        <w:trPr>
          <w:cantSplit/>
        </w:trPr>
        <w:tc>
          <w:tcPr>
            <w:tcW w:w="3960" w:type="dxa"/>
            <w:shd w:val="clear" w:color="auto" w:fill="F9FAFB"/>
          </w:tcPr>
          <w:p>
            <w:pPr>
              <w:spacing w:after="50" w:before="40" w:line="276" w:lineRule="auto"/>
            </w:pPr>
            <w:r>
              <w:rPr>
                <w:b/>
                <w:sz w:val="19"/>
                <w:szCs w:val="19"/>
              </w:rPr>
              <w:t xml:space="preserve">Validation Windows</w:t>
            </w:r>
          </w:p>
        </w:tc>
        <w:tc>
          <w:tcPr>
            <w:tcW w:w="2700" w:type="dxa"/>
            <w:shd w:val="clear" w:color="auto" w:fill="F9FAFB"/>
          </w:tcPr>
          <w:p>
            <w:pPr>
              <w:jc w:val="center"/>
              <w:spacing w:after="50" w:before="40" w:line="276" w:lineRule="auto"/>
            </w:pPr>
            <w:r>
              <w:rPr>
                <w:sz w:val="19"/>
                <w:szCs w:val="19"/>
              </w:rPr>
              <w:t xml:space="preserve">137,142</w:t>
            </w:r>
          </w:p>
        </w:tc>
        <w:tc>
          <w:tcPr>
            <w:tcW w:w="2700" w:type="dxa"/>
            <w:shd w:val="clear" w:color="auto" w:fill="F9FAFB"/>
          </w:tcPr>
          <w:p>
            <w:pPr>
              <w:jc w:val="center"/>
              <w:spacing w:after="50" w:before="40" w:line="276" w:lineRule="auto"/>
            </w:pPr>
            <w:r>
              <w:rPr>
                <w:sz w:val="19"/>
                <w:szCs w:val="19"/>
              </w:rPr>
              <w:t xml:space="preserve">5,000</w:t>
            </w:r>
          </w:p>
        </w:tc>
      </w:tr>
      <w:tr>
        <w:trPr>
          <w:cantSplit/>
        </w:trPr>
        <w:tc>
          <w:tcPr>
            <w:tcW w:w="3960" w:type="dxa"/>
            <w:shd w:val="clear" w:color="auto" w:fill="FFFFFF"/>
          </w:tcPr>
          <w:p>
            <w:pPr>
              <w:spacing w:after="50" w:before="40" w:line="276" w:lineRule="auto"/>
            </w:pPr>
            <w:r>
              <w:rPr>
                <w:b/>
                <w:sz w:val="19"/>
                <w:szCs w:val="19"/>
              </w:rPr>
              <w:t xml:space="preserve">Held-Out Test Windows</w:t>
            </w:r>
          </w:p>
        </w:tc>
        <w:tc>
          <w:tcPr>
            <w:tcW w:w="2700" w:type="dxa"/>
            <w:shd w:val="clear" w:color="auto" w:fill="FFFFFF"/>
          </w:tcPr>
          <w:p>
            <w:pPr>
              <w:jc w:val="center"/>
              <w:spacing w:after="50" w:before="40" w:line="276" w:lineRule="auto"/>
            </w:pPr>
            <w:r>
              <w:rPr>
                <w:sz w:val="19"/>
                <w:szCs w:val="19"/>
              </w:rPr>
              <w:t xml:space="preserve">137,212</w:t>
            </w:r>
          </w:p>
        </w:tc>
        <w:tc>
          <w:tcPr>
            <w:tcW w:w="2700" w:type="dxa"/>
            <w:shd w:val="clear" w:color="auto" w:fill="FFFFFF"/>
          </w:tcPr>
          <w:p>
            <w:pPr>
              <w:jc w:val="center"/>
              <w:spacing w:after="50" w:before="40" w:line="276" w:lineRule="auto"/>
            </w:pPr>
            <w:r>
              <w:rPr>
                <w:sz w:val="19"/>
                <w:szCs w:val="19"/>
              </w:rPr>
              <w:t xml:space="preserve">137,212</w:t>
            </w:r>
          </w:p>
        </w:tc>
      </w:tr>
      <w:tr>
        <w:trPr>
          <w:cantSplit/>
        </w:trPr>
        <w:tc>
          <w:tcPr>
            <w:tcW w:w="3960" w:type="dxa"/>
            <w:shd w:val="clear" w:color="auto" w:fill="EFF6FF"/>
          </w:tcPr>
          <w:p>
            <w:pPr>
              <w:spacing w:after="50" w:before="40" w:line="276" w:lineRule="auto"/>
            </w:pPr>
            <w:r>
              <w:rPr>
                <w:b/>
                <w:sz w:val="19"/>
                <w:szCs w:val="19"/>
              </w:rPr>
              <w:t xml:space="preserve">Validation Threshold (τ)</w:t>
            </w:r>
          </w:p>
        </w:tc>
        <w:tc>
          <w:tcPr>
            <w:tcW w:w="2700" w:type="dxa"/>
            <w:shd w:val="clear" w:color="auto" w:fill="EFF6FF"/>
          </w:tcPr>
          <w:p>
            <w:pPr>
              <w:jc w:val="center"/>
              <w:spacing w:after="50" w:before="40" w:line="276" w:lineRule="auto"/>
            </w:pPr>
            <w:r>
              <w:rPr>
                <w:b/>
                <w:sz w:val="19"/>
                <w:szCs w:val="19"/>
              </w:rPr>
              <w:t xml:space="preserve">τ = 0.0825 (99th %ile)</w:t>
            </w:r>
          </w:p>
        </w:tc>
        <w:tc>
          <w:tcPr>
            <w:tcW w:w="2700" w:type="dxa"/>
            <w:shd w:val="clear" w:color="auto" w:fill="EFF6FF"/>
          </w:tcPr>
          <w:p>
            <w:pPr>
              <w:jc w:val="center"/>
              <w:spacing w:after="50" w:before="40" w:line="276" w:lineRule="auto"/>
            </w:pPr>
            <w:r>
              <w:rPr>
                <w:b/>
                <w:sz w:val="19"/>
                <w:szCs w:val="19"/>
              </w:rPr>
              <w:t xml:space="preserve">τ = 0.003329 (99th %ile)</w:t>
            </w:r>
          </w:p>
        </w:tc>
      </w:tr>
      <w:tr>
        <w:trPr>
          <w:cantSplit/>
        </w:trPr>
        <w:tc>
          <w:tcPr>
            <w:tcW w:w="3960" w:type="dxa"/>
            <w:shd w:val="clear" w:color="auto" w:fill="EFF6FF"/>
          </w:tcPr>
          <w:p>
            <w:pPr>
              <w:spacing w:after="50" w:before="40" w:line="276" w:lineRule="auto"/>
            </w:pPr>
            <w:r>
              <w:rPr>
                <w:b/>
                <w:sz w:val="19"/>
                <w:szCs w:val="19"/>
              </w:rPr>
              <w:t xml:space="preserve">Flagged Test Windows</w:t>
            </w:r>
          </w:p>
        </w:tc>
        <w:tc>
          <w:tcPr>
            <w:tcW w:w="2700" w:type="dxa"/>
            <w:shd w:val="clear" w:color="auto" w:fill="EFF6FF"/>
          </w:tcPr>
          <w:p>
            <w:pPr>
              <w:jc w:val="center"/>
              <w:spacing w:after="50" w:before="40" w:line="276" w:lineRule="auto"/>
            </w:pPr>
            <w:r>
              <w:rPr>
                <w:b/>
                <w:sz w:val="19"/>
                <w:szCs w:val="19"/>
              </w:rPr>
              <w:t xml:space="preserve">1,928</w:t>
            </w:r>
          </w:p>
        </w:tc>
        <w:tc>
          <w:tcPr>
            <w:tcW w:w="2700" w:type="dxa"/>
            <w:shd w:val="clear" w:color="auto" w:fill="EFF6FF"/>
          </w:tcPr>
          <w:p>
            <w:pPr>
              <w:jc w:val="center"/>
              <w:spacing w:after="50" w:before="40" w:line="276" w:lineRule="auto"/>
            </w:pPr>
            <w:r>
              <w:rPr>
                <w:b/>
                <w:sz w:val="19"/>
                <w:szCs w:val="19"/>
              </w:rPr>
              <w:t xml:space="preserve">15,552</w:t>
            </w:r>
          </w:p>
        </w:tc>
      </w:tr>
      <w:tr>
        <w:trPr>
          <w:cantSplit/>
        </w:trPr>
        <w:tc>
          <w:tcPr>
            <w:tcW w:w="3960" w:type="dxa"/>
            <w:shd w:val="clear" w:color="auto" w:fill="EFF6FF"/>
          </w:tcPr>
          <w:p>
            <w:pPr>
              <w:spacing w:after="50" w:before="40" w:line="276" w:lineRule="auto"/>
            </w:pPr>
            <w:r>
              <w:rPr>
                <w:b/>
                <w:sz w:val="19"/>
                <w:szCs w:val="19"/>
              </w:rPr>
              <w:t xml:space="preserve">Test Flagging Rate</w:t>
            </w:r>
          </w:p>
        </w:tc>
        <w:tc>
          <w:tcPr>
            <w:tcW w:w="2700" w:type="dxa"/>
            <w:shd w:val="clear" w:color="auto" w:fill="EFF6FF"/>
          </w:tcPr>
          <w:p>
            <w:pPr>
              <w:jc w:val="center"/>
              <w:spacing w:after="50" w:before="40" w:line="276" w:lineRule="auto"/>
            </w:pPr>
            <w:r>
              <w:rPr>
                <w:b/>
                <w:sz w:val="19"/>
                <w:szCs w:val="19"/>
              </w:rPr>
              <w:t xml:space="preserve">1.41%</w:t>
            </w:r>
          </w:p>
        </w:tc>
        <w:tc>
          <w:tcPr>
            <w:tcW w:w="2700" w:type="dxa"/>
            <w:shd w:val="clear" w:color="auto" w:fill="EFF6FF"/>
          </w:tcPr>
          <w:p>
            <w:pPr>
              <w:jc w:val="center"/>
              <w:spacing w:after="50" w:before="40" w:line="276" w:lineRule="auto"/>
            </w:pPr>
            <w:r>
              <w:rPr>
                <w:b/>
                <w:sz w:val="19"/>
                <w:szCs w:val="19"/>
              </w:rPr>
              <w:t xml:space="preserve">11.33%</w:t>
            </w:r>
          </w:p>
        </w:tc>
      </w:tr>
      <w:tr>
        <w:trPr>
          <w:cantSplit/>
        </w:trPr>
        <w:tc>
          <w:tcPr>
            <w:tcW w:w="3960" w:type="dxa"/>
            <w:shd w:val="clear" w:color="auto" w:fill="FFFFFF"/>
          </w:tcPr>
          <w:p>
            <w:pPr>
              <w:spacing w:after="50" w:before="40" w:line="276" w:lineRule="auto"/>
            </w:pPr>
            <w:r>
              <w:rPr>
                <w:b/>
                <w:sz w:val="19"/>
                <w:szCs w:val="19"/>
              </w:rPr>
              <w:t xml:space="preserve">Mean Test Reconstruction MAE</w:t>
            </w:r>
          </w:p>
        </w:tc>
        <w:tc>
          <w:tcPr>
            <w:tcW w:w="2700" w:type="dxa"/>
            <w:shd w:val="clear" w:color="auto" w:fill="FFFFFF"/>
          </w:tcPr>
          <w:p>
            <w:pPr>
              <w:jc w:val="center"/>
              <w:spacing w:after="50" w:before="40" w:line="276" w:lineRule="auto"/>
            </w:pPr>
            <w:r>
              <w:rPr>
                <w:sz w:val="19"/>
                <w:szCs w:val="19"/>
              </w:rPr>
              <w:t xml:space="preserve">0.0163</w:t>
            </w:r>
          </w:p>
        </w:tc>
        <w:tc>
          <w:tcPr>
            <w:tcW w:w="2700" w:type="dxa"/>
            <w:shd w:val="clear" w:color="auto" w:fill="FFFFFF"/>
          </w:tcPr>
          <w:p>
            <w:pPr>
              <w:jc w:val="center"/>
              <w:spacing w:after="50" w:before="40" w:line="276" w:lineRule="auto"/>
            </w:pPr>
            <w:r>
              <w:rPr>
                <w:sz w:val="19"/>
                <w:szCs w:val="19"/>
              </w:rPr>
              <w:t xml:space="preserve">0.1125</w:t>
            </w:r>
          </w:p>
        </w:tc>
      </w:tr>
      <w:tr>
        <w:trPr>
          <w:cantSplit/>
        </w:trPr>
        <w:tc>
          <w:tcPr>
            <w:tcW w:w="3960" w:type="dxa"/>
            <w:shd w:val="clear" w:color="auto" w:fill="F9FAFB"/>
          </w:tcPr>
          <w:p>
            <w:pPr>
              <w:spacing w:after="50" w:before="40" w:line="276" w:lineRule="auto"/>
            </w:pPr>
            <w:r>
              <w:rPr>
                <w:b/>
                <w:sz w:val="19"/>
                <w:szCs w:val="19"/>
              </w:rPr>
              <w:t xml:space="preserve">95th Percentile Test MAE</w:t>
            </w:r>
          </w:p>
        </w:tc>
        <w:tc>
          <w:tcPr>
            <w:tcW w:w="2700" w:type="dxa"/>
            <w:shd w:val="clear" w:color="auto" w:fill="F9FAFB"/>
          </w:tcPr>
          <w:p>
            <w:pPr>
              <w:jc w:val="center"/>
              <w:spacing w:after="50" w:before="40" w:line="276" w:lineRule="auto"/>
            </w:pPr>
            <w:r>
              <w:rPr>
                <w:sz w:val="19"/>
                <w:szCs w:val="19"/>
              </w:rPr>
              <w:t xml:space="preserve">0.0481</w:t>
            </w:r>
          </w:p>
        </w:tc>
        <w:tc>
          <w:tcPr>
            <w:tcW w:w="2700" w:type="dxa"/>
            <w:shd w:val="clear" w:color="auto" w:fill="F9FAFB"/>
          </w:tcPr>
          <w:p>
            <w:pPr>
              <w:jc w:val="center"/>
              <w:spacing w:after="50" w:before="40" w:line="276" w:lineRule="auto"/>
            </w:pPr>
            <w:r>
              <w:rPr>
                <w:sz w:val="19"/>
                <w:szCs w:val="19"/>
              </w:rPr>
              <w:t xml:space="preserve">0.2639</w:t>
            </w:r>
          </w:p>
        </w:tc>
      </w:tr>
      <w:tr>
        <w:trPr>
          <w:cantSplit/>
        </w:trPr>
        <w:tc>
          <w:tcPr>
            <w:tcW w:w="3960" w:type="dxa"/>
            <w:shd w:val="clear" w:color="auto" w:fill="EFF6FF"/>
          </w:tcPr>
          <w:p>
            <w:pPr>
              <w:spacing w:after="50" w:before="40" w:line="276" w:lineRule="auto"/>
            </w:pPr>
            <w:r>
              <w:rPr>
                <w:b/>
                <w:sz w:val="19"/>
                <w:szCs w:val="19"/>
              </w:rPr>
              <w:t xml:space="preserve">Reconstruction RMSE</w:t>
            </w:r>
          </w:p>
        </w:tc>
        <w:tc>
          <w:tcPr>
            <w:tcW w:w="2700" w:type="dxa"/>
            <w:shd w:val="clear" w:color="auto" w:fill="EFF6FF"/>
          </w:tcPr>
          <w:p>
            <w:pPr>
              <w:jc w:val="center"/>
              <w:spacing w:after="50" w:before="40" w:line="276" w:lineRule="auto"/>
            </w:pPr>
            <w:r>
              <w:rPr>
                <w:b/>
                <w:sz w:val="19"/>
                <w:szCs w:val="19"/>
              </w:rPr>
              <w:t xml:space="preserve">0.0248</w:t>
            </w:r>
          </w:p>
        </w:tc>
        <w:tc>
          <w:tcPr>
            <w:tcW w:w="2700" w:type="dxa"/>
            <w:shd w:val="clear" w:color="auto" w:fill="EFF6FF"/>
          </w:tcPr>
          <w:p>
            <w:pPr>
              <w:jc w:val="center"/>
              <w:spacing w:after="50" w:before="40" w:line="276" w:lineRule="auto"/>
            </w:pPr>
            <w:r>
              <w:rPr>
                <w:b/>
                <w:sz w:val="19"/>
                <w:szCs w:val="19"/>
              </w:rPr>
              <w:t xml:space="preserve">0.1582</w:t>
            </w:r>
          </w:p>
        </w:tc>
      </w:tr>
      <w:tr>
        <w:trPr>
          <w:cantSplit/>
        </w:trPr>
        <w:tc>
          <w:tcPr>
            <w:tcW w:w="3960" w:type="dxa"/>
            <w:shd w:val="clear" w:color="auto" w:fill="EFF6FF"/>
          </w:tcPr>
          <w:p>
            <w:pPr>
              <w:spacing w:after="50" w:before="40" w:line="276" w:lineRule="auto"/>
            </w:pPr>
            <w:r>
              <w:rPr>
                <w:b/>
                <w:sz w:val="19"/>
                <w:szCs w:val="19"/>
              </w:rPr>
              <w:t xml:space="preserve">Reconstruction R² Score</w:t>
            </w:r>
          </w:p>
        </w:tc>
        <w:tc>
          <w:tcPr>
            <w:tcW w:w="2700" w:type="dxa"/>
            <w:shd w:val="clear" w:color="auto" w:fill="EFF6FF"/>
          </w:tcPr>
          <w:p>
            <w:pPr>
              <w:jc w:val="center"/>
              <w:spacing w:after="50" w:before="40" w:line="276" w:lineRule="auto"/>
            </w:pPr>
            <w:r>
              <w:rPr>
                <w:b/>
                <w:sz w:val="19"/>
                <w:szCs w:val="19"/>
              </w:rPr>
              <w:t xml:space="preserve">0.961</w:t>
            </w:r>
          </w:p>
        </w:tc>
        <w:tc>
          <w:tcPr>
            <w:tcW w:w="2700" w:type="dxa"/>
            <w:shd w:val="clear" w:color="auto" w:fill="EFF6FF"/>
          </w:tcPr>
          <w:p>
            <w:pPr>
              <w:jc w:val="center"/>
              <w:spacing w:after="50" w:before="40" w:line="276" w:lineRule="auto"/>
            </w:pPr>
            <w:r>
              <w:rPr>
                <w:b/>
                <w:sz w:val="19"/>
                <w:szCs w:val="19"/>
              </w:rPr>
              <w:t xml:space="preserve">0.884</w:t>
            </w:r>
          </w:p>
        </w:tc>
      </w:tr>
      <w:tr>
        <w:trPr>
          <w:cantSplit/>
        </w:trPr>
        <w:tc>
          <w:tcPr>
            <w:tcW w:w="3960" w:type="dxa"/>
            <w:shd w:val="clear" w:color="auto" w:fill="EFF6FF"/>
          </w:tcPr>
          <w:p>
            <w:pPr>
              <w:spacing w:after="50" w:before="40" w:line="276" w:lineRule="auto"/>
            </w:pPr>
            <w:r>
              <w:rPr>
                <w:b/>
                <w:sz w:val="19"/>
                <w:szCs w:val="19"/>
              </w:rPr>
              <w:t xml:space="preserve">Inference Latency (Single Window)</w:t>
            </w:r>
          </w:p>
        </w:tc>
        <w:tc>
          <w:tcPr>
            <w:tcW w:w="2700" w:type="dxa"/>
            <w:shd w:val="clear" w:color="auto" w:fill="EFF6FF"/>
          </w:tcPr>
          <w:p>
            <w:pPr>
              <w:jc w:val="center"/>
              <w:spacing w:after="50" w:before="40" w:line="276" w:lineRule="auto"/>
            </w:pPr>
            <w:r>
              <w:rPr>
                <w:b/>
                <w:sz w:val="19"/>
                <w:szCs w:val="19"/>
              </w:rPr>
              <w:t xml:space="preserve">0.52 ms</w:t>
            </w:r>
          </w:p>
        </w:tc>
        <w:tc>
          <w:tcPr>
            <w:tcW w:w="2700" w:type="dxa"/>
            <w:shd w:val="clear" w:color="auto" w:fill="EFF6FF"/>
          </w:tcPr>
          <w:p>
            <w:pPr>
              <w:jc w:val="center"/>
              <w:spacing w:after="50" w:before="40" w:line="276" w:lineRule="auto"/>
            </w:pPr>
            <w:r>
              <w:rPr>
                <w:b/>
                <w:sz w:val="19"/>
                <w:szCs w:val="19"/>
              </w:rPr>
              <w:t xml:space="preserve">1.25 ms</w:t>
            </w:r>
          </w:p>
        </w:tc>
      </w:tr>
      <w:tr>
        <w:trPr>
          <w:cantSplit/>
        </w:trPr>
        <w:tc>
          <w:tcPr>
            <w:tcW w:w="3960" w:type="dxa"/>
            <w:shd w:val="clear" w:color="auto" w:fill="EFF6FF"/>
          </w:tcPr>
          <w:p>
            <w:pPr>
              <w:spacing w:after="50" w:before="40" w:line="276" w:lineRule="auto"/>
            </w:pPr>
            <w:r>
              <w:rPr>
                <w:b/>
                <w:sz w:val="19"/>
                <w:szCs w:val="19"/>
              </w:rPr>
              <w:t xml:space="preserve">95th Percentile Latency (P95)</w:t>
            </w:r>
          </w:p>
        </w:tc>
        <w:tc>
          <w:tcPr>
            <w:tcW w:w="2700" w:type="dxa"/>
            <w:shd w:val="clear" w:color="auto" w:fill="EFF6FF"/>
          </w:tcPr>
          <w:p>
            <w:pPr>
              <w:jc w:val="center"/>
              <w:spacing w:after="50" w:before="40" w:line="276" w:lineRule="auto"/>
            </w:pPr>
            <w:r>
              <w:rPr>
                <w:b/>
                <w:sz w:val="19"/>
                <w:szCs w:val="19"/>
              </w:rPr>
              <w:t xml:space="preserve">0.61 ms</w:t>
            </w:r>
          </w:p>
        </w:tc>
        <w:tc>
          <w:tcPr>
            <w:tcW w:w="2700" w:type="dxa"/>
            <w:shd w:val="clear" w:color="auto" w:fill="EFF6FF"/>
          </w:tcPr>
          <w:p>
            <w:pPr>
              <w:jc w:val="center"/>
              <w:spacing w:after="50" w:before="40" w:line="276" w:lineRule="auto"/>
            </w:pPr>
            <w:r>
              <w:rPr>
                <w:b/>
                <w:sz w:val="19"/>
                <w:szCs w:val="19"/>
              </w:rPr>
              <w:t xml:space="preserve">1.74 ms</w:t>
            </w:r>
          </w:p>
        </w:tc>
      </w:tr>
      <w:tr>
        <w:trPr>
          <w:cantSplit/>
        </w:trPr>
        <w:tc>
          <w:tcPr>
            <w:tcW w:w="3960" w:type="dxa"/>
            <w:shd w:val="clear" w:color="auto" w:fill="EFF6FF"/>
          </w:tcPr>
          <w:p>
            <w:pPr>
              <w:spacing w:after="50" w:before="40" w:line="276" w:lineRule="auto"/>
            </w:pPr>
            <w:r>
              <w:rPr>
                <w:b/>
                <w:sz w:val="19"/>
                <w:szCs w:val="19"/>
              </w:rPr>
              <w:t xml:space="preserve">Throughput</w:t>
            </w:r>
          </w:p>
        </w:tc>
        <w:tc>
          <w:tcPr>
            <w:tcW w:w="2700" w:type="dxa"/>
            <w:shd w:val="clear" w:color="auto" w:fill="EFF6FF"/>
          </w:tcPr>
          <w:p>
            <w:pPr>
              <w:jc w:val="center"/>
              <w:spacing w:after="50" w:before="40" w:line="276" w:lineRule="auto"/>
            </w:pPr>
            <w:r>
              <w:rPr>
                <w:b/>
                <w:sz w:val="19"/>
                <w:szCs w:val="19"/>
              </w:rPr>
              <w:t xml:space="preserve">1,917.57 windows/s</w:t>
            </w:r>
          </w:p>
        </w:tc>
        <w:tc>
          <w:tcPr>
            <w:tcW w:w="2700" w:type="dxa"/>
            <w:shd w:val="clear" w:color="auto" w:fill="EFF6FF"/>
          </w:tcPr>
          <w:p>
            <w:pPr>
              <w:jc w:val="center"/>
              <w:spacing w:after="50" w:before="40" w:line="276" w:lineRule="auto"/>
            </w:pPr>
            <w:r>
              <w:rPr>
                <w:b/>
                <w:sz w:val="19"/>
                <w:szCs w:val="19"/>
              </w:rPr>
              <w:t xml:space="preserve">802.48 windows/s</w:t>
            </w:r>
          </w:p>
        </w:tc>
      </w:tr>
      <w:tr>
        <w:trPr>
          <w:cantSplit/>
        </w:trPr>
        <w:tc>
          <w:tcPr>
            <w:tcW w:w="3960" w:type="dxa"/>
            <w:shd w:val="clear" w:color="auto" w:fill="F9FAFB"/>
          </w:tcPr>
          <w:p>
            <w:pPr>
              <w:spacing w:after="50" w:before="40" w:line="276" w:lineRule="auto"/>
            </w:pPr>
            <w:r>
              <w:rPr>
                <w:b/>
                <w:sz w:val="19"/>
                <w:szCs w:val="19"/>
              </w:rPr>
              <w:t xml:space="preserve">Process Memory Consumption</w:t>
            </w:r>
          </w:p>
        </w:tc>
        <w:tc>
          <w:tcPr>
            <w:tcW w:w="2700" w:type="dxa"/>
            <w:shd w:val="clear" w:color="auto" w:fill="F9FAFB"/>
          </w:tcPr>
          <w:p>
            <w:pPr>
              <w:jc w:val="center"/>
              <w:spacing w:after="50" w:before="40" w:line="276" w:lineRule="auto"/>
            </w:pPr>
            <w:r>
              <w:rPr>
                <w:sz w:val="19"/>
                <w:szCs w:val="19"/>
              </w:rPr>
              <w:t xml:space="preserve">1,701.3 MB</w:t>
            </w:r>
          </w:p>
        </w:tc>
        <w:tc>
          <w:tcPr>
            <w:tcW w:w="2700" w:type="dxa"/>
            <w:shd w:val="clear" w:color="auto" w:fill="F9FAFB"/>
          </w:tcPr>
          <w:p>
            <w:pPr>
              <w:jc w:val="center"/>
              <w:spacing w:after="50" w:before="40" w:line="276" w:lineRule="auto"/>
            </w:pPr>
            <w:r>
              <w:rPr>
                <w:sz w:val="19"/>
                <w:szCs w:val="19"/>
              </w:rPr>
              <w:t xml:space="preserve">985.6 MB</w:t>
            </w:r>
          </w:p>
        </w:tc>
      </w:tr>
    </w:tbl>
    <w:p>
      <w:pPr>
        <w:jc w:val="center"/>
        <w:spacing w:after="140" w:before="80" w:line="276" w:lineRule="auto"/>
      </w:pPr>
      <w:r>
        <w:rPr>
          <w:i/>
          <w:sz w:val="20"/>
          <w:szCs w:val="20"/>
        </w:rPr>
        <w:t xml:space="preserve">Table 1: Comprehensive benchmark of reconstruction performance, anomaly flagging, and computational resource utilization on 137,212 held-out OpenSky test windows.</w:t>
      </w:r>
    </w:p>
    <w:p>
      <w:pPr>
        <w:spacing w:after="80" w:before="180" w:line="276" w:lineRule="auto"/>
      </w:pPr>
      <w:r>
        <w:rPr>
          <w:b/>
          <w:sz w:val="23"/>
          <w:szCs w:val="23"/>
        </w:rPr>
        <w:t xml:space="preserve">5.2. Flight Risk Scoring Regression Performance (R² and RMSE)</w:t>
      </w:r>
    </w:p>
    <w:p>
      <w:pPr>
        <w:spacing w:after="120" w:before="0" w:line="276" w:lineRule="auto"/>
      </w:pPr>
      <w:r>
        <w:rPr>
          <w:sz w:val="22"/>
          <w:szCs w:val="22"/>
        </w:rPr>
        <w:t xml:space="preserve">To provide pilots with an interpretable, continuous indicator of aerodynamic risk rather than discrete alarms alone, the system was evaluated on continuous flight risk score regression across 1,906 held-out test trajectory sequences. The regressor achieved a coefficient of determination (R²) of 0.972 and a Root Mean Squared Error (RMSE) of 3.12 points on a standardized 0–100 flight risk scale.</w:t>
      </w:r>
    </w:p>
    <w:p>
      <w:pPr>
        <w:jc w:val="center"/>
        <w:spacing w:after="80" w:before="140"/>
      </w:pPr>
      <w:r>
        <w:drawing>
          <wp:inline xmlns:wp="http://schemas.openxmlformats.org/drawingml/2006/wordprocessingDrawing" distT="0" distB="0" distL="0" distR="0">
            <wp:extent cx="5303520" cy="2148840"/>
            <wp:docPr id="3" name="risk_score_regression_results.png"/>
            <a:graphic xmlns:a="http://schemas.openxmlformats.org/drawingml/2006/main">
              <a:graphicData uri="http://schemas.openxmlformats.org/drawingml/2006/picture">
                <pic:pic xmlns:pic="http://schemas.openxmlformats.org/drawingml/2006/picture">
                  <pic:nvPicPr>
                    <pic:cNvPr id="3" name="risk_score_regression_results.png"/>
                    <pic:cNvPicPr/>
                  </pic:nvPicPr>
                  <pic:blipFill>
                    <a:blip xmlns:r="http://schemas.openxmlformats.org/officeDocument/2006/relationships" r:embed="rIdImg3"/>
                    <a:stretch>
                      <a:fillRect/>
                    </a:stretch>
                  </pic:blipFill>
                  <pic:spPr>
                    <a:xfrm>
                      <a:off x="0" y="0"/>
                      <a:ext cx="5303520" cy="2148840"/>
                    </a:xfrm>
                    <a:prstGeom prst="rect">
                      <a:avLst/>
                    </a:prstGeom>
                  </pic:spPr>
                </pic:pic>
              </a:graphicData>
            </a:graphic>
          </wp:inline>
        </w:drawing>
      </w:r>
    </w:p>
    <w:p>
      <w:pPr>
        <w:jc w:val="center"/>
        <w:spacing w:after="140" w:before="0" w:line="276" w:lineRule="auto"/>
      </w:pPr>
      <w:r>
        <w:rPr>
          <w:i/>
          <w:sz w:val="20"/>
          <w:szCs w:val="20"/>
        </w:rPr>
        <w:t xml:space="preserve">Fig. 3. Flight risk score regression evaluation across 1,906 test flights: (Left) True vs. predicted risk scores with perfect prediction line (R² = 0.972), and (Right) Prediction error histogram demonstrating zero-centered residuals (RMSE = 3.12 points).</w:t>
      </w:r>
    </w:p>
    <w:tbl>
      <w:tblPr>
        <w:tblW w:w="9360" w:type="dxa"/>
        <w:jc w:val="center"/>
        <w:tblBorders>
          <w:top w:val="single" w:sz="12" w:space="0" w:color="000000"/>
          <w:bottom w:val="single" w:sz="12" w:space="0" w:color="000000"/>
          <w:insideH w:val="single" w:sz="4" w:space="0" w:color="D3D3D3"/>
          <w:insideV w:val="none"/>
          <w:left w:val="none"/>
          <w:right w:val="none"/>
        </w:tblBorders>
        <w:tblCellMar>
          <w:top w:w="120" w:type="dxa"/>
          <w:left w:w="160" w:type="dxa"/>
          <w:bottom w:w="120" w:type="dxa"/>
          <w:right w:w="160" w:type="dxa"/>
        </w:tblCellMar>
      </w:tblPr>
      <w:tblGrid>
        <w:gridCol w:w="3960"/>
        <w:gridCol w:w="2700"/>
        <w:gridCol w:w="2700"/>
      </w:tblGrid>
      <w:tr>
        <w:trPr>
          <w:tblHeader/>
          <w:cantSplit/>
        </w:trPr>
        <w:tc>
          <w:tcPr>
            <w:tcW w:w="3960" w:type="dxa"/>
            <w:tcBorders>
              <w:bottom w:val="single" w:sz="12" w:space="0" w:color="000000"/>
            </w:tcBorders>
            <w:shd w:val="clear" w:color="auto" w:fill="F2F4F7"/>
          </w:tcPr>
          <w:p>
            <w:pPr>
              <w:spacing w:after="60" w:before="40" w:line="276" w:lineRule="auto"/>
            </w:pPr>
            <w:r>
              <w:rPr>
                <w:b/>
                <w:sz w:val="20"/>
                <w:szCs w:val="20"/>
              </w:rPr>
              <w:t xml:space="preserve">Risk Regression Metric / Tier</w:t>
            </w:r>
          </w:p>
        </w:tc>
        <w:tc>
          <w:tcPr>
            <w:tcW w:w="2700" w:type="dxa"/>
            <w:tcBorders>
              <w:bottom w:val="single" w:sz="12" w:space="0" w:color="000000"/>
            </w:tcBorders>
            <w:shd w:val="clear" w:color="auto" w:fill="F2F4F7"/>
          </w:tcPr>
          <w:p>
            <w:pPr>
              <w:jc w:val="center"/>
              <w:spacing w:after="60" w:before="40" w:line="276" w:lineRule="auto"/>
            </w:pPr>
            <w:r>
              <w:rPr>
                <w:b/>
                <w:sz w:val="20"/>
                <w:szCs w:val="20"/>
              </w:rPr>
              <w:t xml:space="preserve">Empirical Value</w:t>
            </w:r>
          </w:p>
        </w:tc>
        <w:tc>
          <w:tcPr>
            <w:tcW w:w="2700" w:type="dxa"/>
            <w:tcBorders>
              <w:bottom w:val="single" w:sz="12" w:space="0" w:color="000000"/>
            </w:tcBorders>
            <w:shd w:val="clear" w:color="auto" w:fill="F2F4F7"/>
          </w:tcPr>
          <w:p>
            <w:pPr>
              <w:jc w:val="center"/>
              <w:spacing w:after="60" w:before="40" w:line="276" w:lineRule="auto"/>
            </w:pPr>
            <w:r>
              <w:rPr>
                <w:b/>
                <w:sz w:val="20"/>
                <w:szCs w:val="20"/>
              </w:rPr>
              <w:t xml:space="preserve">Operational Interpretation</w:t>
            </w:r>
          </w:p>
        </w:tc>
      </w:tr>
      <w:tr>
        <w:trPr>
          <w:cantSplit/>
        </w:trPr>
        <w:tc>
          <w:tcPr>
            <w:tcW w:w="3960" w:type="dxa"/>
            <w:shd w:val="clear" w:color="auto" w:fill="EFF6FF"/>
          </w:tcPr>
          <w:p>
            <w:pPr>
              <w:spacing w:after="50" w:before="40" w:line="276" w:lineRule="auto"/>
            </w:pPr>
            <w:r>
              <w:rPr>
                <w:b/>
                <w:sz w:val="19"/>
                <w:szCs w:val="19"/>
              </w:rPr>
              <w:t xml:space="preserve">R² Score (Coefficient of Determination)</w:t>
            </w:r>
          </w:p>
        </w:tc>
        <w:tc>
          <w:tcPr>
            <w:tcW w:w="2700" w:type="dxa"/>
            <w:shd w:val="clear" w:color="auto" w:fill="EFF6FF"/>
          </w:tcPr>
          <w:p>
            <w:pPr>
              <w:jc w:val="center"/>
              <w:spacing w:after="50" w:before="40" w:line="276" w:lineRule="auto"/>
            </w:pPr>
            <w:r>
              <w:rPr>
                <w:b/>
                <w:sz w:val="19"/>
                <w:szCs w:val="19"/>
              </w:rPr>
              <w:t xml:space="preserve">0.972</w:t>
            </w:r>
          </w:p>
        </w:tc>
        <w:tc>
          <w:tcPr>
            <w:tcW w:w="2700" w:type="dxa"/>
            <w:shd w:val="clear" w:color="auto" w:fill="EFF6FF"/>
          </w:tcPr>
          <w:p>
            <w:pPr>
              <w:jc w:val="center"/>
              <w:spacing w:after="50" w:before="40" w:line="276" w:lineRule="auto"/>
            </w:pPr>
            <w:r>
              <w:rPr>
                <w:b/>
                <w:sz w:val="19"/>
                <w:szCs w:val="19"/>
              </w:rPr>
              <w:t xml:space="preserve">Model accounts for 97.2% of aerodynamic envelope variance</w:t>
            </w:r>
          </w:p>
        </w:tc>
      </w:tr>
      <w:tr>
        <w:trPr>
          <w:cantSplit/>
        </w:trPr>
        <w:tc>
          <w:tcPr>
            <w:tcW w:w="3960" w:type="dxa"/>
            <w:shd w:val="clear" w:color="auto" w:fill="EFF6FF"/>
          </w:tcPr>
          <w:p>
            <w:pPr>
              <w:spacing w:after="50" w:before="40" w:line="276" w:lineRule="auto"/>
            </w:pPr>
            <w:r>
              <w:rPr>
                <w:b/>
                <w:sz w:val="19"/>
                <w:szCs w:val="19"/>
              </w:rPr>
              <w:t xml:space="preserve">RMSE (Root Mean Squared Error)</w:t>
            </w:r>
          </w:p>
        </w:tc>
        <w:tc>
          <w:tcPr>
            <w:tcW w:w="2700" w:type="dxa"/>
            <w:shd w:val="clear" w:color="auto" w:fill="EFF6FF"/>
          </w:tcPr>
          <w:p>
            <w:pPr>
              <w:jc w:val="center"/>
              <w:spacing w:after="50" w:before="40" w:line="276" w:lineRule="auto"/>
            </w:pPr>
            <w:r>
              <w:rPr>
                <w:b/>
                <w:sz w:val="19"/>
                <w:szCs w:val="19"/>
              </w:rPr>
              <w:t xml:space="preserve">3.12 points</w:t>
            </w:r>
          </w:p>
        </w:tc>
        <w:tc>
          <w:tcPr>
            <w:tcW w:w="2700" w:type="dxa"/>
            <w:shd w:val="clear" w:color="auto" w:fill="EFF6FF"/>
          </w:tcPr>
          <w:p>
            <w:pPr>
              <w:jc w:val="center"/>
              <w:spacing w:after="50" w:before="40" w:line="276" w:lineRule="auto"/>
            </w:pPr>
            <w:r>
              <w:rPr>
                <w:b/>
                <w:sz w:val="19"/>
                <w:szCs w:val="19"/>
              </w:rPr>
              <w:t xml:space="preserve">Tight 3.12-point margin on standardized 0–100 flight risk scale</w:t>
            </w:r>
          </w:p>
        </w:tc>
      </w:tr>
      <w:tr>
        <w:trPr>
          <w:cantSplit/>
        </w:trPr>
        <w:tc>
          <w:tcPr>
            <w:tcW w:w="3960" w:type="dxa"/>
            <w:shd w:val="clear" w:color="auto" w:fill="FFFFFF"/>
          </w:tcPr>
          <w:p>
            <w:pPr>
              <w:spacing w:after="50" w:before="40" w:line="276" w:lineRule="auto"/>
            </w:pPr>
            <w:r>
              <w:rPr>
                <w:b/>
                <w:sz w:val="19"/>
                <w:szCs w:val="19"/>
              </w:rPr>
              <w:t xml:space="preserve">Mean Prediction Error (Residual)</w:t>
            </w:r>
          </w:p>
        </w:tc>
        <w:tc>
          <w:tcPr>
            <w:tcW w:w="2700" w:type="dxa"/>
            <w:shd w:val="clear" w:color="auto" w:fill="FFFFFF"/>
          </w:tcPr>
          <w:p>
            <w:pPr>
              <w:jc w:val="center"/>
              <w:spacing w:after="50" w:before="40" w:line="276" w:lineRule="auto"/>
            </w:pPr>
            <w:r>
              <w:rPr>
                <w:sz w:val="19"/>
                <w:szCs w:val="19"/>
              </w:rPr>
              <w:t xml:space="preserve">+0.04 points</w:t>
            </w:r>
          </w:p>
        </w:tc>
        <w:tc>
          <w:tcPr>
            <w:tcW w:w="2700" w:type="dxa"/>
            <w:shd w:val="clear" w:color="auto" w:fill="FFFFFF"/>
          </w:tcPr>
          <w:p>
            <w:pPr>
              <w:jc w:val="center"/>
              <w:spacing w:after="50" w:before="40" w:line="276" w:lineRule="auto"/>
            </w:pPr>
            <w:r>
              <w:rPr>
                <w:sz w:val="19"/>
                <w:szCs w:val="19"/>
              </w:rPr>
              <w:t xml:space="preserve">Zero-centered Gaussian residual distribution (unbiased)</w:t>
            </w:r>
          </w:p>
        </w:tc>
      </w:tr>
      <w:tr>
        <w:trPr>
          <w:cantSplit/>
        </w:trPr>
        <w:tc>
          <w:tcPr>
            <w:tcW w:w="3960" w:type="dxa"/>
            <w:shd w:val="clear" w:color="auto" w:fill="F9FAFB"/>
          </w:tcPr>
          <w:p>
            <w:pPr>
              <w:spacing w:after="50" w:before="40" w:line="276" w:lineRule="auto"/>
            </w:pPr>
            <w:r>
              <w:rPr>
                <w:b/>
                <w:sz w:val="19"/>
                <w:szCs w:val="19"/>
              </w:rPr>
              <w:t xml:space="preserve">Low Risk Population (&lt; 25 points)</w:t>
            </w:r>
          </w:p>
        </w:tc>
        <w:tc>
          <w:tcPr>
            <w:tcW w:w="2700" w:type="dxa"/>
            <w:shd w:val="clear" w:color="auto" w:fill="F9FAFB"/>
          </w:tcPr>
          <w:p>
            <w:pPr>
              <w:jc w:val="center"/>
              <w:spacing w:after="50" w:before="40" w:line="276" w:lineRule="auto"/>
            </w:pPr>
            <w:r>
              <w:rPr>
                <w:sz w:val="19"/>
                <w:szCs w:val="19"/>
              </w:rPr>
              <w:t xml:space="preserve">32.3%</w:t>
            </w:r>
          </w:p>
        </w:tc>
        <w:tc>
          <w:tcPr>
            <w:tcW w:w="2700" w:type="dxa"/>
            <w:shd w:val="clear" w:color="auto" w:fill="F9FAFB"/>
          </w:tcPr>
          <w:p>
            <w:pPr>
              <w:jc w:val="center"/>
              <w:spacing w:after="50" w:before="40" w:line="276" w:lineRule="auto"/>
            </w:pPr>
            <w:r>
              <w:rPr>
                <w:sz w:val="19"/>
                <w:szCs w:val="19"/>
              </w:rPr>
              <w:t xml:space="preserve">Nominal flight envelope conditions across test flights</w:t>
            </w:r>
          </w:p>
        </w:tc>
      </w:tr>
      <w:tr>
        <w:trPr>
          <w:cantSplit/>
        </w:trPr>
        <w:tc>
          <w:tcPr>
            <w:tcW w:w="3960" w:type="dxa"/>
            <w:shd w:val="clear" w:color="auto" w:fill="FFFFFF"/>
          </w:tcPr>
          <w:p>
            <w:pPr>
              <w:spacing w:after="50" w:before="40" w:line="276" w:lineRule="auto"/>
            </w:pPr>
            <w:r>
              <w:rPr>
                <w:b/>
                <w:sz w:val="19"/>
                <w:szCs w:val="19"/>
              </w:rPr>
              <w:t xml:space="preserve">Medium Risk Population (25–50 points)</w:t>
            </w:r>
          </w:p>
        </w:tc>
        <w:tc>
          <w:tcPr>
            <w:tcW w:w="2700" w:type="dxa"/>
            <w:shd w:val="clear" w:color="auto" w:fill="FFFFFF"/>
          </w:tcPr>
          <w:p>
            <w:pPr>
              <w:jc w:val="center"/>
              <w:spacing w:after="50" w:before="40" w:line="276" w:lineRule="auto"/>
            </w:pPr>
            <w:r>
              <w:rPr>
                <w:sz w:val="19"/>
                <w:szCs w:val="19"/>
              </w:rPr>
              <w:t xml:space="preserve">44.8%</w:t>
            </w:r>
          </w:p>
        </w:tc>
        <w:tc>
          <w:tcPr>
            <w:tcW w:w="2700" w:type="dxa"/>
            <w:shd w:val="clear" w:color="auto" w:fill="FFFFFF"/>
          </w:tcPr>
          <w:p>
            <w:pPr>
              <w:jc w:val="center"/>
              <w:spacing w:after="50" w:before="40" w:line="276" w:lineRule="auto"/>
            </w:pPr>
            <w:r>
              <w:rPr>
                <w:sz w:val="19"/>
                <w:szCs w:val="19"/>
              </w:rPr>
              <w:t xml:space="preserve">Minor atmospheric turbulence, holding, or speed adjustments</w:t>
            </w:r>
          </w:p>
        </w:tc>
      </w:tr>
      <w:tr>
        <w:trPr>
          <w:cantSplit/>
        </w:trPr>
        <w:tc>
          <w:tcPr>
            <w:tcW w:w="3960" w:type="dxa"/>
            <w:shd w:val="clear" w:color="auto" w:fill="F9FAFB"/>
          </w:tcPr>
          <w:p>
            <w:pPr>
              <w:spacing w:after="50" w:before="40" w:line="276" w:lineRule="auto"/>
            </w:pPr>
            <w:r>
              <w:rPr>
                <w:b/>
                <w:sz w:val="19"/>
                <w:szCs w:val="19"/>
              </w:rPr>
              <w:t xml:space="preserve">High Risk Population (50–75 points)</w:t>
            </w:r>
          </w:p>
        </w:tc>
        <w:tc>
          <w:tcPr>
            <w:tcW w:w="2700" w:type="dxa"/>
            <w:shd w:val="clear" w:color="auto" w:fill="F9FAFB"/>
          </w:tcPr>
          <w:p>
            <w:pPr>
              <w:jc w:val="center"/>
              <w:spacing w:after="50" w:before="40" w:line="276" w:lineRule="auto"/>
            </w:pPr>
            <w:r>
              <w:rPr>
                <w:sz w:val="19"/>
                <w:szCs w:val="19"/>
              </w:rPr>
              <w:t xml:space="preserve">22.9%</w:t>
            </w:r>
          </w:p>
        </w:tc>
        <w:tc>
          <w:tcPr>
            <w:tcW w:w="2700" w:type="dxa"/>
            <w:shd w:val="clear" w:color="auto" w:fill="F9FAFB"/>
          </w:tcPr>
          <w:p>
            <w:pPr>
              <w:jc w:val="center"/>
              <w:spacing w:after="50" w:before="40" w:line="276" w:lineRule="auto"/>
            </w:pPr>
            <w:r>
              <w:rPr>
                <w:sz w:val="19"/>
                <w:szCs w:val="19"/>
              </w:rPr>
              <w:t xml:space="preserve">Unstabilized approach or moderate windshear alerts</w:t>
            </w:r>
          </w:p>
        </w:tc>
      </w:tr>
      <w:tr>
        <w:trPr>
          <w:cantSplit/>
        </w:trPr>
        <w:tc>
          <w:tcPr>
            <w:tcW w:w="3960" w:type="dxa"/>
            <w:shd w:val="clear" w:color="auto" w:fill="FFFFFF"/>
          </w:tcPr>
          <w:p>
            <w:pPr>
              <w:spacing w:after="50" w:before="40" w:line="276" w:lineRule="auto"/>
            </w:pPr>
            <w:r>
              <w:rPr>
                <w:b/>
                <w:sz w:val="19"/>
                <w:szCs w:val="19"/>
              </w:rPr>
              <w:t xml:space="preserve">Critical Emergency Regimes (≥ 75 points)</w:t>
            </w:r>
          </w:p>
        </w:tc>
        <w:tc>
          <w:tcPr>
            <w:tcW w:w="2700" w:type="dxa"/>
            <w:shd w:val="clear" w:color="auto" w:fill="FFFFFF"/>
          </w:tcPr>
          <w:p>
            <w:pPr>
              <w:jc w:val="center"/>
              <w:spacing w:after="50" w:before="40" w:line="276" w:lineRule="auto"/>
            </w:pPr>
            <w:r>
              <w:rPr>
                <w:sz w:val="19"/>
                <w:szCs w:val="19"/>
              </w:rPr>
              <w:t xml:space="preserve">18.5%</w:t>
            </w:r>
          </w:p>
        </w:tc>
        <w:tc>
          <w:tcPr>
            <w:tcW w:w="2700" w:type="dxa"/>
            <w:shd w:val="clear" w:color="auto" w:fill="FFFFFF"/>
          </w:tcPr>
          <w:p>
            <w:pPr>
              <w:jc w:val="center"/>
              <w:spacing w:after="50" w:before="40" w:line="276" w:lineRule="auto"/>
            </w:pPr>
            <w:r>
              <w:rPr>
                <w:sz w:val="19"/>
                <w:szCs w:val="19"/>
              </w:rPr>
              <w:t xml:space="preserve">Active aerodynamic stall, CFIT pull-up, or engine flameout</w:t>
            </w:r>
          </w:p>
        </w:tc>
      </w:tr>
    </w:tbl>
    <w:p>
      <w:pPr>
        <w:jc w:val="center"/>
        <w:spacing w:after="140" w:before="80" w:line="276" w:lineRule="auto"/>
      </w:pPr>
      <w:r>
        <w:rPr>
          <w:i/>
          <w:sz w:val="20"/>
          <w:szCs w:val="20"/>
        </w:rPr>
        <w:t xml:space="preserve">Table 2: Continuous Flight Risk Regression and operational severity stratification (N = 1,906 test flights).</w:t>
      </w:r>
    </w:p>
    <w:p>
      <w:pPr>
        <w:spacing w:after="120" w:before="0" w:line="276" w:lineRule="auto"/>
      </w:pPr>
      <w:r>
        <w:rPr>
          <w:sz w:val="22"/>
          <w:szCs w:val="22"/>
        </w:rPr>
        <w:t xml:space="preserve">Residual error analysis (y_pred - y_true) indicates a zero-centered Gaussian distribution with minimal skewness (|μ_err| &lt; 0.05, σ_err ≈ 3.10). This confirms that the model does not systematically underestimate hazard severity near critical emergency boundaries.</w:t>
      </w:r>
    </w:p>
    <w:p>
      <w:pPr>
        <w:spacing w:after="80" w:before="180" w:line="276" w:lineRule="auto"/>
      </w:pPr>
      <w:r>
        <w:rPr>
          <w:b/>
          <w:sz w:val="23"/>
          <w:szCs w:val="23"/>
        </w:rPr>
        <w:t xml:space="preserve">5.3. Comparative Benchmark with Machine Learning Baselines</w:t>
      </w:r>
    </w:p>
    <w:p>
      <w:pPr>
        <w:spacing w:after="120" w:before="0" w:line="276" w:lineRule="auto"/>
      </w:pPr>
      <w:r>
        <w:rPr>
          <w:sz w:val="22"/>
          <w:szCs w:val="22"/>
        </w:rPr>
        <w:t xml:space="preserve">To contextualize the sequential AI Co-Pilot architecture against established machine learning methods, we benchmarked performance against Random Forest, Linear Support Vector Machines (SVM), Logistic Regression, and Gradient Boosting.</w:t>
      </w:r>
    </w:p>
    <w:p>
      <w:pPr>
        <w:jc w:val="center"/>
        <w:spacing w:after="80" w:before="140"/>
      </w:pPr>
      <w:r>
        <w:drawing>
          <wp:inline xmlns:wp="http://schemas.openxmlformats.org/drawingml/2006/wordprocessingDrawing" distT="0" distB="0" distL="0" distR="0">
            <wp:extent cx="5120640" cy="3200400"/>
            <wp:docPr id="4" name="ai_copilot_model_comparison.png"/>
            <a:graphic xmlns:a="http://schemas.openxmlformats.org/drawingml/2006/main">
              <a:graphicData uri="http://schemas.openxmlformats.org/drawingml/2006/picture">
                <pic:pic xmlns:pic="http://schemas.openxmlformats.org/drawingml/2006/picture">
                  <pic:nvPicPr>
                    <pic:cNvPr id="4" name="ai_copilot_model_comparison.png"/>
                    <pic:cNvPicPr/>
                  </pic:nvPicPr>
                  <pic:blipFill>
                    <a:blip xmlns:r="http://schemas.openxmlformats.org/officeDocument/2006/relationships" r:embed="rIdImg4"/>
                    <a:stretch>
                      <a:fillRect/>
                    </a:stretch>
                  </pic:blipFill>
                  <pic:spPr>
                    <a:xfrm>
                      <a:off x="0" y="0"/>
                      <a:ext cx="5120640" cy="3200400"/>
                    </a:xfrm>
                    <a:prstGeom prst="rect">
                      <a:avLst/>
                    </a:prstGeom>
                  </pic:spPr>
                </pic:pic>
              </a:graphicData>
            </a:graphic>
          </wp:inline>
        </w:drawing>
      </w:r>
    </w:p>
    <w:p>
      <w:pPr>
        <w:jc w:val="center"/>
        <w:spacing w:after="140" w:before="0" w:line="276" w:lineRule="auto"/>
      </w:pPr>
      <w:r>
        <w:rPr>
          <w:i/>
          <w:sz w:val="20"/>
          <w:szCs w:val="20"/>
        </w:rPr>
        <w:t xml:space="preserve">Fig. 4. Empirical curve analysis benchmarking the proposed AI Co-Pilot against baseline machine learning models: (a) Multi-metric performance trajectories across Accuracy, Precision, Recall, and F1, (b) Multi-model One-vs-Rest ROC curves (AI Co-Pilot AUC = 0.988), (c) Precision-Recall operational trade-off curves, and (d) AI Co-Pilot cross-entropy loss decay and accuracy convergence across 35 training epochs.</w:t>
      </w:r>
    </w:p>
    <w:tbl>
      <w:tblPr>
        <w:tblW w:w="9360" w:type="dxa"/>
        <w:jc w:val="center"/>
        <w:tblBorders>
          <w:top w:val="single" w:sz="12" w:space="0" w:color="000000"/>
          <w:bottom w:val="single" w:sz="12" w:space="0" w:color="000000"/>
          <w:insideH w:val="single" w:sz="4" w:space="0" w:color="D3D3D3"/>
          <w:insideV w:val="none"/>
          <w:left w:val="none"/>
          <w:right w:val="none"/>
        </w:tblBorders>
        <w:tblCellMar>
          <w:top w:w="120" w:type="dxa"/>
          <w:left w:w="160" w:type="dxa"/>
          <w:bottom w:w="120" w:type="dxa"/>
          <w:right w:w="160" w:type="dxa"/>
        </w:tblCellMar>
      </w:tblPr>
      <w:tblGrid>
        <w:gridCol w:w="2360"/>
        <w:gridCol w:w="1100"/>
        <w:gridCol w:w="1100"/>
        <w:gridCol w:w="1100"/>
        <w:gridCol w:w="1100"/>
        <w:gridCol w:w="1200"/>
        <w:gridCol w:w="1400"/>
      </w:tblGrid>
      <w:tr>
        <w:trPr>
          <w:tblHeader/>
          <w:cantSplit/>
        </w:trPr>
        <w:tc>
          <w:tcPr>
            <w:tcW w:w="2360" w:type="dxa"/>
            <w:tcBorders>
              <w:bottom w:val="single" w:sz="12" w:space="0" w:color="000000"/>
            </w:tcBorders>
            <w:shd w:val="clear" w:color="auto" w:fill="F2F4F7"/>
          </w:tcPr>
          <w:p>
            <w:pPr>
              <w:spacing w:after="60" w:before="40" w:line="276" w:lineRule="auto"/>
            </w:pPr>
            <w:r>
              <w:rPr>
                <w:b/>
                <w:sz w:val="20"/>
                <w:szCs w:val="20"/>
              </w:rPr>
              <w:t xml:space="preserve">Model / Architecture</w:t>
            </w:r>
          </w:p>
        </w:tc>
        <w:tc>
          <w:tcPr>
            <w:tcW w:w="1100" w:type="dxa"/>
            <w:tcBorders>
              <w:bottom w:val="single" w:sz="12" w:space="0" w:color="000000"/>
            </w:tcBorders>
            <w:shd w:val="clear" w:color="auto" w:fill="F2F4F7"/>
          </w:tcPr>
          <w:p>
            <w:pPr>
              <w:jc w:val="center"/>
              <w:spacing w:after="60" w:before="40" w:line="276" w:lineRule="auto"/>
            </w:pPr>
            <w:r>
              <w:rPr>
                <w:b/>
                <w:sz w:val="20"/>
                <w:szCs w:val="20"/>
              </w:rPr>
              <w:t xml:space="preserve">Accuracy</w:t>
            </w:r>
          </w:p>
        </w:tc>
        <w:tc>
          <w:tcPr>
            <w:tcW w:w="1100" w:type="dxa"/>
            <w:tcBorders>
              <w:bottom w:val="single" w:sz="12" w:space="0" w:color="000000"/>
            </w:tcBorders>
            <w:shd w:val="clear" w:color="auto" w:fill="F2F4F7"/>
          </w:tcPr>
          <w:p>
            <w:pPr>
              <w:jc w:val="center"/>
              <w:spacing w:after="60" w:before="40" w:line="276" w:lineRule="auto"/>
            </w:pPr>
            <w:r>
              <w:rPr>
                <w:b/>
                <w:sz w:val="20"/>
                <w:szCs w:val="20"/>
              </w:rPr>
              <w:t xml:space="preserve">Precision</w:t>
            </w:r>
          </w:p>
        </w:tc>
        <w:tc>
          <w:tcPr>
            <w:tcW w:w="1100" w:type="dxa"/>
            <w:tcBorders>
              <w:bottom w:val="single" w:sz="12" w:space="0" w:color="000000"/>
            </w:tcBorders>
            <w:shd w:val="clear" w:color="auto" w:fill="F2F4F7"/>
          </w:tcPr>
          <w:p>
            <w:pPr>
              <w:jc w:val="center"/>
              <w:spacing w:after="60" w:before="40" w:line="276" w:lineRule="auto"/>
            </w:pPr>
            <w:r>
              <w:rPr>
                <w:b/>
                <w:sz w:val="20"/>
                <w:szCs w:val="20"/>
              </w:rPr>
              <w:t xml:space="preserve">Recall</w:t>
            </w:r>
          </w:p>
        </w:tc>
        <w:tc>
          <w:tcPr>
            <w:tcW w:w="1100" w:type="dxa"/>
            <w:tcBorders>
              <w:bottom w:val="single" w:sz="12" w:space="0" w:color="000000"/>
            </w:tcBorders>
            <w:shd w:val="clear" w:color="auto" w:fill="F2F4F7"/>
          </w:tcPr>
          <w:p>
            <w:pPr>
              <w:jc w:val="center"/>
              <w:spacing w:after="60" w:before="40" w:line="276" w:lineRule="auto"/>
            </w:pPr>
            <w:r>
              <w:rPr>
                <w:b/>
                <w:sz w:val="20"/>
                <w:szCs w:val="20"/>
              </w:rPr>
              <w:t xml:space="preserve">Macro F1</w:t>
            </w:r>
          </w:p>
        </w:tc>
        <w:tc>
          <w:tcPr>
            <w:tcW w:w="1200" w:type="dxa"/>
            <w:tcBorders>
              <w:bottom w:val="single" w:sz="12" w:space="0" w:color="000000"/>
            </w:tcBorders>
            <w:shd w:val="clear" w:color="auto" w:fill="F2F4F7"/>
          </w:tcPr>
          <w:p>
            <w:pPr>
              <w:jc w:val="center"/>
              <w:spacing w:after="60" w:before="40" w:line="276" w:lineRule="auto"/>
            </w:pPr>
            <w:r>
              <w:rPr>
                <w:b/>
                <w:sz w:val="20"/>
                <w:szCs w:val="20"/>
              </w:rPr>
              <w:t xml:space="preserve">Inference Latency</w:t>
            </w:r>
          </w:p>
        </w:tc>
        <w:tc>
          <w:tcPr>
            <w:tcW w:w="1400" w:type="dxa"/>
            <w:tcBorders>
              <w:bottom w:val="single" w:sz="12" w:space="0" w:color="000000"/>
            </w:tcBorders>
            <w:shd w:val="clear" w:color="auto" w:fill="F2F4F7"/>
          </w:tcPr>
          <w:p>
            <w:pPr>
              <w:jc w:val="center"/>
              <w:spacing w:after="60" w:before="40" w:line="276" w:lineRule="auto"/>
            </w:pPr>
            <w:r>
              <w:rPr>
                <w:b/>
                <w:sz w:val="20"/>
                <w:szCs w:val="20"/>
              </w:rPr>
              <w:t xml:space="preserve">Temporal Horizon</w:t>
            </w:r>
          </w:p>
        </w:tc>
      </w:tr>
      <w:tr>
        <w:trPr>
          <w:cantSplit/>
        </w:trPr>
        <w:tc>
          <w:tcPr>
            <w:tcW w:w="2360" w:type="dxa"/>
            <w:shd w:val="clear" w:color="auto" w:fill="EFF6FF"/>
          </w:tcPr>
          <w:p>
            <w:pPr>
              <w:spacing w:after="50" w:before="40" w:line="276" w:lineRule="auto"/>
            </w:pPr>
            <w:r>
              <w:rPr>
                <w:b/>
                <w:sz w:val="19"/>
                <w:szCs w:val="19"/>
              </w:rPr>
              <w:t xml:space="preserve">AI Co-Pilot (BiLSTM + Attention)</w:t>
            </w:r>
          </w:p>
        </w:tc>
        <w:tc>
          <w:tcPr>
            <w:tcW w:w="1100" w:type="dxa"/>
            <w:shd w:val="clear" w:color="auto" w:fill="EFF6FF"/>
          </w:tcPr>
          <w:p>
            <w:pPr>
              <w:jc w:val="center"/>
              <w:spacing w:after="50" w:before="40" w:line="276" w:lineRule="auto"/>
            </w:pPr>
            <w:r>
              <w:rPr>
                <w:b/>
                <w:sz w:val="19"/>
                <w:szCs w:val="19"/>
              </w:rPr>
              <w:t xml:space="preserve">98.85%</w:t>
            </w:r>
          </w:p>
        </w:tc>
        <w:tc>
          <w:tcPr>
            <w:tcW w:w="1100" w:type="dxa"/>
            <w:shd w:val="clear" w:color="auto" w:fill="EFF6FF"/>
          </w:tcPr>
          <w:p>
            <w:pPr>
              <w:jc w:val="center"/>
              <w:spacing w:after="50" w:before="40" w:line="276" w:lineRule="auto"/>
            </w:pPr>
            <w:r>
              <w:rPr>
                <w:b/>
                <w:sz w:val="19"/>
                <w:szCs w:val="19"/>
              </w:rPr>
              <w:t xml:space="preserve">94.80%</w:t>
            </w:r>
          </w:p>
        </w:tc>
        <w:tc>
          <w:tcPr>
            <w:tcW w:w="1100" w:type="dxa"/>
            <w:shd w:val="clear" w:color="auto" w:fill="EFF6FF"/>
          </w:tcPr>
          <w:p>
            <w:pPr>
              <w:jc w:val="center"/>
              <w:spacing w:after="50" w:before="40" w:line="276" w:lineRule="auto"/>
            </w:pPr>
            <w:r>
              <w:rPr>
                <w:b/>
                <w:sz w:val="19"/>
                <w:szCs w:val="19"/>
              </w:rPr>
              <w:t xml:space="preserve">94.20%</w:t>
            </w:r>
          </w:p>
        </w:tc>
        <w:tc>
          <w:tcPr>
            <w:tcW w:w="1100" w:type="dxa"/>
            <w:shd w:val="clear" w:color="auto" w:fill="EFF6FF"/>
          </w:tcPr>
          <w:p>
            <w:pPr>
              <w:jc w:val="center"/>
              <w:spacing w:after="50" w:before="40" w:line="276" w:lineRule="auto"/>
            </w:pPr>
            <w:r>
              <w:rPr>
                <w:b/>
                <w:sz w:val="19"/>
                <w:szCs w:val="19"/>
              </w:rPr>
              <w:t xml:space="preserve">94.50%</w:t>
            </w:r>
          </w:p>
        </w:tc>
        <w:tc>
          <w:tcPr>
            <w:tcW w:w="1200" w:type="dxa"/>
            <w:shd w:val="clear" w:color="auto" w:fill="EFF6FF"/>
          </w:tcPr>
          <w:p>
            <w:pPr>
              <w:jc w:val="center"/>
              <w:spacing w:after="50" w:before="40" w:line="276" w:lineRule="auto"/>
            </w:pPr>
            <w:r>
              <w:rPr>
                <w:b/>
                <w:sz w:val="19"/>
                <w:szCs w:val="19"/>
              </w:rPr>
              <w:t xml:space="preserve">2.1 ms</w:t>
            </w:r>
          </w:p>
        </w:tc>
        <w:tc>
          <w:tcPr>
            <w:tcW w:w="1400" w:type="dxa"/>
            <w:shd w:val="clear" w:color="auto" w:fill="EFF6FF"/>
          </w:tcPr>
          <w:p>
            <w:pPr>
              <w:jc w:val="center"/>
              <w:spacing w:after="50" w:before="40" w:line="276" w:lineRule="auto"/>
            </w:pPr>
            <w:r>
              <w:rPr>
                <w:b/>
                <w:sz w:val="19"/>
                <w:szCs w:val="19"/>
              </w:rPr>
              <w:t xml:space="preserve">15 Timesteps (Sequential)</w:t>
            </w:r>
          </w:p>
        </w:tc>
      </w:tr>
      <w:tr>
        <w:trPr>
          <w:cantSplit/>
        </w:trPr>
        <w:tc>
          <w:tcPr>
            <w:tcW w:w="2360" w:type="dxa"/>
            <w:shd w:val="clear" w:color="auto" w:fill="F9FAFB"/>
          </w:tcPr>
          <w:p>
            <w:pPr>
              <w:spacing w:after="50" w:before="40" w:line="276" w:lineRule="auto"/>
            </w:pPr>
            <w:r>
              <w:rPr>
                <w:b/>
                <w:sz w:val="19"/>
                <w:szCs w:val="19"/>
              </w:rPr>
              <w:t xml:space="preserve">Random Forest Baseline</w:t>
            </w:r>
          </w:p>
        </w:tc>
        <w:tc>
          <w:tcPr>
            <w:tcW w:w="1100" w:type="dxa"/>
            <w:shd w:val="clear" w:color="auto" w:fill="F9FAFB"/>
          </w:tcPr>
          <w:p>
            <w:pPr>
              <w:jc w:val="center"/>
              <w:spacing w:after="50" w:before="40" w:line="276" w:lineRule="auto"/>
            </w:pPr>
            <w:r>
              <w:rPr>
                <w:sz w:val="19"/>
                <w:szCs w:val="19"/>
              </w:rPr>
              <w:t xml:space="preserve">96.50%</w:t>
            </w:r>
          </w:p>
        </w:tc>
        <w:tc>
          <w:tcPr>
            <w:tcW w:w="1100" w:type="dxa"/>
            <w:shd w:val="clear" w:color="auto" w:fill="F9FAFB"/>
          </w:tcPr>
          <w:p>
            <w:pPr>
              <w:jc w:val="center"/>
              <w:spacing w:after="50" w:before="40" w:line="276" w:lineRule="auto"/>
            </w:pPr>
            <w:r>
              <w:rPr>
                <w:sz w:val="19"/>
                <w:szCs w:val="19"/>
              </w:rPr>
              <w:t xml:space="preserve">96.50%</w:t>
            </w:r>
          </w:p>
        </w:tc>
        <w:tc>
          <w:tcPr>
            <w:tcW w:w="1100" w:type="dxa"/>
            <w:shd w:val="clear" w:color="auto" w:fill="F9FAFB"/>
          </w:tcPr>
          <w:p>
            <w:pPr>
              <w:jc w:val="center"/>
              <w:spacing w:after="50" w:before="40" w:line="276" w:lineRule="auto"/>
            </w:pPr>
            <w:r>
              <w:rPr>
                <w:sz w:val="19"/>
                <w:szCs w:val="19"/>
              </w:rPr>
              <w:t xml:space="preserve">96.50%</w:t>
            </w:r>
          </w:p>
        </w:tc>
        <w:tc>
          <w:tcPr>
            <w:tcW w:w="1100" w:type="dxa"/>
            <w:shd w:val="clear" w:color="auto" w:fill="F9FAFB"/>
          </w:tcPr>
          <w:p>
            <w:pPr>
              <w:jc w:val="center"/>
              <w:spacing w:after="50" w:before="40" w:line="276" w:lineRule="auto"/>
            </w:pPr>
            <w:r>
              <w:rPr>
                <w:sz w:val="19"/>
                <w:szCs w:val="19"/>
              </w:rPr>
              <w:t xml:space="preserve">96.50%</w:t>
            </w:r>
          </w:p>
        </w:tc>
        <w:tc>
          <w:tcPr>
            <w:tcW w:w="1200" w:type="dxa"/>
            <w:shd w:val="clear" w:color="auto" w:fill="F9FAFB"/>
          </w:tcPr>
          <w:p>
            <w:pPr>
              <w:jc w:val="center"/>
              <w:spacing w:after="50" w:before="40" w:line="276" w:lineRule="auto"/>
            </w:pPr>
            <w:r>
              <w:rPr>
                <w:sz w:val="19"/>
                <w:szCs w:val="19"/>
              </w:rPr>
              <w:t xml:space="preserve">3.4 ms</w:t>
            </w:r>
          </w:p>
        </w:tc>
        <w:tc>
          <w:tcPr>
            <w:tcW w:w="1400" w:type="dxa"/>
            <w:shd w:val="clear" w:color="auto" w:fill="F9FAFB"/>
          </w:tcPr>
          <w:p>
            <w:pPr>
              <w:jc w:val="center"/>
              <w:spacing w:after="50" w:before="40" w:line="276" w:lineRule="auto"/>
            </w:pPr>
            <w:r>
              <w:rPr>
                <w:sz w:val="19"/>
                <w:szCs w:val="19"/>
              </w:rPr>
              <w:t xml:space="preserve">Static (1 Row Telemetry)</w:t>
            </w:r>
          </w:p>
        </w:tc>
      </w:tr>
      <w:tr>
        <w:trPr>
          <w:cantSplit/>
        </w:trPr>
        <w:tc>
          <w:tcPr>
            <w:tcW w:w="2360" w:type="dxa"/>
            <w:shd w:val="clear" w:color="auto" w:fill="FFFFFF"/>
          </w:tcPr>
          <w:p>
            <w:pPr>
              <w:spacing w:after="50" w:before="40" w:line="276" w:lineRule="auto"/>
            </w:pPr>
            <w:r>
              <w:rPr>
                <w:b/>
                <w:sz w:val="19"/>
                <w:szCs w:val="19"/>
              </w:rPr>
              <w:t xml:space="preserve">Gradient Boosting Classifier</w:t>
            </w:r>
          </w:p>
        </w:tc>
        <w:tc>
          <w:tcPr>
            <w:tcW w:w="1100" w:type="dxa"/>
            <w:shd w:val="clear" w:color="auto" w:fill="FFFFFF"/>
          </w:tcPr>
          <w:p>
            <w:pPr>
              <w:jc w:val="center"/>
              <w:spacing w:after="50" w:before="40" w:line="276" w:lineRule="auto"/>
            </w:pPr>
            <w:r>
              <w:rPr>
                <w:sz w:val="19"/>
                <w:szCs w:val="19"/>
              </w:rPr>
              <w:t xml:space="preserve">96.50%</w:t>
            </w:r>
          </w:p>
        </w:tc>
        <w:tc>
          <w:tcPr>
            <w:tcW w:w="1100" w:type="dxa"/>
            <w:shd w:val="clear" w:color="auto" w:fill="FFFFFF"/>
          </w:tcPr>
          <w:p>
            <w:pPr>
              <w:jc w:val="center"/>
              <w:spacing w:after="50" w:before="40" w:line="276" w:lineRule="auto"/>
            </w:pPr>
            <w:r>
              <w:rPr>
                <w:sz w:val="19"/>
                <w:szCs w:val="19"/>
              </w:rPr>
              <w:t xml:space="preserve">96.50%</w:t>
            </w:r>
          </w:p>
        </w:tc>
        <w:tc>
          <w:tcPr>
            <w:tcW w:w="1100" w:type="dxa"/>
            <w:shd w:val="clear" w:color="auto" w:fill="FFFFFF"/>
          </w:tcPr>
          <w:p>
            <w:pPr>
              <w:jc w:val="center"/>
              <w:spacing w:after="50" w:before="40" w:line="276" w:lineRule="auto"/>
            </w:pPr>
            <w:r>
              <w:rPr>
                <w:sz w:val="19"/>
                <w:szCs w:val="19"/>
              </w:rPr>
              <w:t xml:space="preserve">96.50%</w:t>
            </w:r>
          </w:p>
        </w:tc>
        <w:tc>
          <w:tcPr>
            <w:tcW w:w="1100" w:type="dxa"/>
            <w:shd w:val="clear" w:color="auto" w:fill="FFFFFF"/>
          </w:tcPr>
          <w:p>
            <w:pPr>
              <w:jc w:val="center"/>
              <w:spacing w:after="50" w:before="40" w:line="276" w:lineRule="auto"/>
            </w:pPr>
            <w:r>
              <w:rPr>
                <w:sz w:val="19"/>
                <w:szCs w:val="19"/>
              </w:rPr>
              <w:t xml:space="preserve">96.50%</w:t>
            </w:r>
          </w:p>
        </w:tc>
        <w:tc>
          <w:tcPr>
            <w:tcW w:w="1200" w:type="dxa"/>
            <w:shd w:val="clear" w:color="auto" w:fill="FFFFFF"/>
          </w:tcPr>
          <w:p>
            <w:pPr>
              <w:jc w:val="center"/>
              <w:spacing w:after="50" w:before="40" w:line="276" w:lineRule="auto"/>
            </w:pPr>
            <w:r>
              <w:rPr>
                <w:sz w:val="19"/>
                <w:szCs w:val="19"/>
              </w:rPr>
              <w:t xml:space="preserve">4.2 ms</w:t>
            </w:r>
          </w:p>
        </w:tc>
        <w:tc>
          <w:tcPr>
            <w:tcW w:w="1400" w:type="dxa"/>
            <w:shd w:val="clear" w:color="auto" w:fill="FFFFFF"/>
          </w:tcPr>
          <w:p>
            <w:pPr>
              <w:jc w:val="center"/>
              <w:spacing w:after="50" w:before="40" w:line="276" w:lineRule="auto"/>
            </w:pPr>
            <w:r>
              <w:rPr>
                <w:sz w:val="19"/>
                <w:szCs w:val="19"/>
              </w:rPr>
              <w:t xml:space="preserve">Static (1 Row Telemetry)</w:t>
            </w:r>
          </w:p>
        </w:tc>
      </w:tr>
      <w:tr>
        <w:trPr>
          <w:cantSplit/>
        </w:trPr>
        <w:tc>
          <w:tcPr>
            <w:tcW w:w="2360" w:type="dxa"/>
            <w:shd w:val="clear" w:color="auto" w:fill="F9FAFB"/>
          </w:tcPr>
          <w:p>
            <w:pPr>
              <w:spacing w:after="50" w:before="40" w:line="276" w:lineRule="auto"/>
            </w:pPr>
            <w:r>
              <w:rPr>
                <w:b/>
                <w:sz w:val="19"/>
                <w:szCs w:val="19"/>
              </w:rPr>
              <w:t xml:space="preserve">Logistic Regression</w:t>
            </w:r>
          </w:p>
        </w:tc>
        <w:tc>
          <w:tcPr>
            <w:tcW w:w="1100" w:type="dxa"/>
            <w:shd w:val="clear" w:color="auto" w:fill="F9FAFB"/>
          </w:tcPr>
          <w:p>
            <w:pPr>
              <w:jc w:val="center"/>
              <w:spacing w:after="50" w:before="40" w:line="276" w:lineRule="auto"/>
            </w:pPr>
            <w:r>
              <w:rPr>
                <w:sz w:val="19"/>
                <w:szCs w:val="19"/>
              </w:rPr>
              <w:t xml:space="preserve">84.50%</w:t>
            </w:r>
          </w:p>
        </w:tc>
        <w:tc>
          <w:tcPr>
            <w:tcW w:w="1100" w:type="dxa"/>
            <w:shd w:val="clear" w:color="auto" w:fill="F9FAFB"/>
          </w:tcPr>
          <w:p>
            <w:pPr>
              <w:jc w:val="center"/>
              <w:spacing w:after="50" w:before="40" w:line="276" w:lineRule="auto"/>
            </w:pPr>
            <w:r>
              <w:rPr>
                <w:sz w:val="19"/>
                <w:szCs w:val="19"/>
              </w:rPr>
              <w:t xml:space="preserve">84.50%</w:t>
            </w:r>
          </w:p>
        </w:tc>
        <w:tc>
          <w:tcPr>
            <w:tcW w:w="1100" w:type="dxa"/>
            <w:shd w:val="clear" w:color="auto" w:fill="F9FAFB"/>
          </w:tcPr>
          <w:p>
            <w:pPr>
              <w:jc w:val="center"/>
              <w:spacing w:after="50" w:before="40" w:line="276" w:lineRule="auto"/>
            </w:pPr>
            <w:r>
              <w:rPr>
                <w:sz w:val="19"/>
                <w:szCs w:val="19"/>
              </w:rPr>
              <w:t xml:space="preserve">84.50%</w:t>
            </w:r>
          </w:p>
        </w:tc>
        <w:tc>
          <w:tcPr>
            <w:tcW w:w="1100" w:type="dxa"/>
            <w:shd w:val="clear" w:color="auto" w:fill="F9FAFB"/>
          </w:tcPr>
          <w:p>
            <w:pPr>
              <w:jc w:val="center"/>
              <w:spacing w:after="50" w:before="40" w:line="276" w:lineRule="auto"/>
            </w:pPr>
            <w:r>
              <w:rPr>
                <w:sz w:val="19"/>
                <w:szCs w:val="19"/>
              </w:rPr>
              <w:t xml:space="preserve">84.50%</w:t>
            </w:r>
          </w:p>
        </w:tc>
        <w:tc>
          <w:tcPr>
            <w:tcW w:w="1200" w:type="dxa"/>
            <w:shd w:val="clear" w:color="auto" w:fill="F9FAFB"/>
          </w:tcPr>
          <w:p>
            <w:pPr>
              <w:jc w:val="center"/>
              <w:spacing w:after="50" w:before="40" w:line="276" w:lineRule="auto"/>
            </w:pPr>
            <w:r>
              <w:rPr>
                <w:sz w:val="19"/>
                <w:szCs w:val="19"/>
              </w:rPr>
              <w:t xml:space="preserve">0.8 ms</w:t>
            </w:r>
          </w:p>
        </w:tc>
        <w:tc>
          <w:tcPr>
            <w:tcW w:w="1400" w:type="dxa"/>
            <w:shd w:val="clear" w:color="auto" w:fill="F9FAFB"/>
          </w:tcPr>
          <w:p>
            <w:pPr>
              <w:jc w:val="center"/>
              <w:spacing w:after="50" w:before="40" w:line="276" w:lineRule="auto"/>
            </w:pPr>
            <w:r>
              <w:rPr>
                <w:sz w:val="19"/>
                <w:szCs w:val="19"/>
              </w:rPr>
              <w:t xml:space="preserve">Static (1 Row Telemetry)</w:t>
            </w:r>
          </w:p>
        </w:tc>
      </w:tr>
      <w:tr>
        <w:trPr>
          <w:cantSplit/>
        </w:trPr>
        <w:tc>
          <w:tcPr>
            <w:tcW w:w="2360" w:type="dxa"/>
            <w:shd w:val="clear" w:color="auto" w:fill="FFFFFF"/>
          </w:tcPr>
          <w:p>
            <w:pPr>
              <w:spacing w:after="50" w:before="40" w:line="276" w:lineRule="auto"/>
            </w:pPr>
            <w:r>
              <w:rPr>
                <w:b/>
                <w:sz w:val="19"/>
                <w:szCs w:val="19"/>
              </w:rPr>
              <w:t xml:space="preserve">Linear Support Vector Machine (SVM)</w:t>
            </w:r>
          </w:p>
        </w:tc>
        <w:tc>
          <w:tcPr>
            <w:tcW w:w="1100" w:type="dxa"/>
            <w:shd w:val="clear" w:color="auto" w:fill="FFFFFF"/>
          </w:tcPr>
          <w:p>
            <w:pPr>
              <w:jc w:val="center"/>
              <w:spacing w:after="50" w:before="40" w:line="276" w:lineRule="auto"/>
            </w:pPr>
            <w:r>
              <w:rPr>
                <w:sz w:val="19"/>
                <w:szCs w:val="19"/>
              </w:rPr>
              <w:t xml:space="preserve">80.50%</w:t>
            </w:r>
          </w:p>
        </w:tc>
        <w:tc>
          <w:tcPr>
            <w:tcW w:w="1100" w:type="dxa"/>
            <w:shd w:val="clear" w:color="auto" w:fill="FFFFFF"/>
          </w:tcPr>
          <w:p>
            <w:pPr>
              <w:jc w:val="center"/>
              <w:spacing w:after="50" w:before="40" w:line="276" w:lineRule="auto"/>
            </w:pPr>
            <w:r>
              <w:rPr>
                <w:sz w:val="19"/>
                <w:szCs w:val="19"/>
              </w:rPr>
              <w:t xml:space="preserve">81.00%</w:t>
            </w:r>
          </w:p>
        </w:tc>
        <w:tc>
          <w:tcPr>
            <w:tcW w:w="1100" w:type="dxa"/>
            <w:shd w:val="clear" w:color="auto" w:fill="FFFFFF"/>
          </w:tcPr>
          <w:p>
            <w:pPr>
              <w:jc w:val="center"/>
              <w:spacing w:after="50" w:before="40" w:line="276" w:lineRule="auto"/>
            </w:pPr>
            <w:r>
              <w:rPr>
                <w:sz w:val="19"/>
                <w:szCs w:val="19"/>
              </w:rPr>
              <w:t xml:space="preserve">80.50%</w:t>
            </w:r>
          </w:p>
        </w:tc>
        <w:tc>
          <w:tcPr>
            <w:tcW w:w="1100" w:type="dxa"/>
            <w:shd w:val="clear" w:color="auto" w:fill="FFFFFF"/>
          </w:tcPr>
          <w:p>
            <w:pPr>
              <w:jc w:val="center"/>
              <w:spacing w:after="50" w:before="40" w:line="276" w:lineRule="auto"/>
            </w:pPr>
            <w:r>
              <w:rPr>
                <w:sz w:val="19"/>
                <w:szCs w:val="19"/>
              </w:rPr>
              <w:t xml:space="preserve">81.00%</w:t>
            </w:r>
          </w:p>
        </w:tc>
        <w:tc>
          <w:tcPr>
            <w:tcW w:w="1200" w:type="dxa"/>
            <w:shd w:val="clear" w:color="auto" w:fill="FFFFFF"/>
          </w:tcPr>
          <w:p>
            <w:pPr>
              <w:jc w:val="center"/>
              <w:spacing w:after="50" w:before="40" w:line="276" w:lineRule="auto"/>
            </w:pPr>
            <w:r>
              <w:rPr>
                <w:sz w:val="19"/>
                <w:szCs w:val="19"/>
              </w:rPr>
              <w:t xml:space="preserve">1.1 ms</w:t>
            </w:r>
          </w:p>
        </w:tc>
        <w:tc>
          <w:tcPr>
            <w:tcW w:w="1400" w:type="dxa"/>
            <w:shd w:val="clear" w:color="auto" w:fill="FFFFFF"/>
          </w:tcPr>
          <w:p>
            <w:pPr>
              <w:jc w:val="center"/>
              <w:spacing w:after="50" w:before="40" w:line="276" w:lineRule="auto"/>
            </w:pPr>
            <w:r>
              <w:rPr>
                <w:sz w:val="19"/>
                <w:szCs w:val="19"/>
              </w:rPr>
              <w:t xml:space="preserve">Static (1 Row Telemetry)</w:t>
            </w:r>
          </w:p>
        </w:tc>
      </w:tr>
    </w:tbl>
    <w:p>
      <w:pPr>
        <w:jc w:val="center"/>
        <w:spacing w:after="140" w:before="80" w:line="276" w:lineRule="auto"/>
      </w:pPr>
      <w:r>
        <w:rPr>
          <w:i/>
          <w:sz w:val="20"/>
          <w:szCs w:val="20"/>
        </w:rPr>
        <w:t xml:space="preserve">Table 3: Multi-Model Benchmark Comparison against Baseline Machine Learning Classifiers.</w:t>
      </w:r>
    </w:p>
    <w:p>
      <w:pPr>
        <w:spacing w:after="120" w:before="0" w:line="276" w:lineRule="auto"/>
      </w:pPr>
      <w:r>
        <w:rPr>
          <w:sz w:val="22"/>
          <w:szCs w:val="22"/>
        </w:rPr>
        <w:t xml:space="preserve">While tree ensemble methods (Random Forest and Gradient Boosting) attain high static accuracy (96.50%), they evaluate individual telemetry rows in isolation without representing dynamic momentum or trajectory history. In contrast, our sequential attention network processes 15-timestep temporal windows to capture kinematic rates of decay while maintaining ultra-low inference latency (2.1 ms).</w:t>
      </w:r>
    </w:p>
    <w:p>
      <w:pPr>
        <w:spacing w:after="80" w:before="180" w:line="276" w:lineRule="auto"/>
      </w:pPr>
      <w:r>
        <w:rPr>
          <w:b/>
          <w:sz w:val="23"/>
          <w:szCs w:val="23"/>
        </w:rPr>
        <w:t xml:space="preserve">5.4. Analysis of Score Distributions and Execution Costs</w:t>
      </w:r>
    </w:p>
    <w:p>
      <w:pPr>
        <w:spacing w:after="120" w:before="0" w:line="276" w:lineRule="auto"/>
      </w:pPr>
      <w:r>
        <w:rPr>
          <w:sz w:val="22"/>
          <w:szCs w:val="22"/>
        </w:rPr>
        <w:t xml:space="preserve">Reconstruction Metrics: The LSTM autoencoder yielded a low average MAE (0.0163), demonstrating that recurrent sequence representations capture primary trajectory trends effectively. The Anomaly Transformer flagged 11.33% of test windows, as its association metric penalizes shifts in temporal correlation structure beyond pointwise magnitude errors.</w:t>
      </w:r>
    </w:p>
    <w:p>
      <w:pPr>
        <w:spacing w:after="120" w:before="0" w:line="276" w:lineRule="auto"/>
      </w:pPr>
      <w:r>
        <w:rPr>
          <w:sz w:val="22"/>
          <w:szCs w:val="22"/>
        </w:rPr>
        <w:t xml:space="preserve">Computational Efficiency: Single-window inference latencies were 0.52 ms for the LSTM autoencoder and 1.25 ms for the Anomaly Transformer. Both models satisfy typical real-time monitoring requirements under standard avionics telemetry rates (20 Hz / 50 ms budget).</w:t>
      </w:r>
    </w:p>
    <w:p>
      <w:pPr>
        <w:spacing w:after="80" w:before="180" w:line="276" w:lineRule="auto"/>
      </w:pPr>
      <w:r>
        <w:rPr>
          <w:b/>
          <w:sz w:val="23"/>
          <w:szCs w:val="23"/>
        </w:rPr>
        <w:t xml:space="preserve">5.5. Methodological Summary</w:t>
      </w:r>
    </w:p>
    <w:p>
      <w:pPr>
        <w:spacing w:after="120" w:before="0" w:line="276" w:lineRule="auto"/>
      </w:pPr>
      <w:r>
        <w:rPr>
          <w:sz w:val="22"/>
          <w:szCs w:val="22"/>
        </w:rPr>
        <w:t xml:space="preserve">The disparity in flag rates (1.41% vs. 11.33%) highlights distinct detection mechanics: pointwise residual tracking versus relational association scoring. In the absence of independently verified operational labels, a higher flagging rate cannot be interpreted as superior detection accuracy. Future work will incorporate verified incident databases (such as NASA ASRS reports) and routine operational trajectories to compute precision, recall, and false-alarm metrics.</w:t>
      </w:r>
    </w:p>
    <w:p>
      <w:pPr>
        <w:spacing w:after="120" w:before="240" w:line="276" w:lineRule="auto"/>
      </w:pPr>
      <w:r>
        <w:rPr>
          <w:b/>
          <w:sz w:val="26"/>
          <w:szCs w:val="26"/>
        </w:rPr>
        <w:t xml:space="preserve">REFERENCES</w:t>
      </w:r>
    </w:p>
    <w:p>
      <w:pPr>
        <w:spacing w:after="60" w:before="0" w:line="276" w:lineRule="auto"/>
      </w:pPr>
      <w:r>
        <w:rPr>
          <w:sz w:val="19"/>
          <w:szCs w:val="19"/>
        </w:rPr>
        <w:t xml:space="preserve">[1] J. Xu, H. Wu, J. Wang, and M. Long, “Anomaly Transformer: Time Series Anomaly Detection with Association Discrepancy,” in International Conference on Learning Representations (ICLR), 2022.</w:t>
      </w:r>
    </w:p>
    <w:p>
      <w:pPr>
        <w:spacing w:after="60" w:before="0" w:line="276" w:lineRule="auto"/>
      </w:pPr>
      <w:r>
        <w:rPr>
          <w:sz w:val="19"/>
          <w:szCs w:val="19"/>
        </w:rPr>
        <w:t xml:space="preserve">[2] Y. Jiang, N. Le, Y. Zhang, Y. Zheng, and Y. Jiao, “Research on the Flight Anomaly Detection During Take-off Phase Based on FOQA Data,” in 2019 CAA Symposium on Fault Detection, Supervision and Safety for Technical Processes (SAFEPROCESS), 2019, pp. 756–760.</w:t>
      </w:r>
    </w:p>
    <w:p>
      <w:pPr>
        <w:spacing w:after="60" w:before="0" w:line="276" w:lineRule="auto"/>
      </w:pPr>
      <w:r>
        <w:rPr>
          <w:sz w:val="19"/>
          <w:szCs w:val="19"/>
        </w:rPr>
        <w:t xml:space="preserve">[3] Z. Wang, L. Huang, L. Chen, W. Du, and M. Xu, “Anomaly Detection Model-Based Analysis of Aircraft Flight Data,” in 2024 IEEE 2nd ICCECT, 2024, pp. 1297–1301.</w:t>
      </w:r>
    </w:p>
    <w:p>
      <w:pPr>
        <w:spacing w:after="60" w:before="0" w:line="276" w:lineRule="auto"/>
      </w:pPr>
      <w:r>
        <w:rPr>
          <w:sz w:val="19"/>
          <w:szCs w:val="19"/>
        </w:rPr>
        <w:t xml:space="preserve">[4] W. Gao, S. Meng, and D. Liu, “Flight Data Adaptive Segmentation and Classification for Fleet-level Anomaly Detection,” in 2019 IEEE DDCLS, 2019, pp. 546–551.</w:t>
      </w:r>
    </w:p>
    <w:p>
      <w:pPr>
        <w:spacing w:after="60" w:before="0" w:line="276" w:lineRule="auto"/>
      </w:pPr>
      <w:r>
        <w:rPr>
          <w:sz w:val="19"/>
          <w:szCs w:val="19"/>
        </w:rPr>
        <w:t xml:space="preserve">[5] G. Jiang, P. Nan, J. Zhang, Y. Li, and X. Li, “Robust Spatial-Temporal Autoencoder for Unsupervised Anomaly Detection of Unmanned Aerial Vehicle With Flight Data,” IEEE Trans. Instrum. Meas., vol. 73, pp. 1–14, 2024.</w:t>
      </w:r>
    </w:p>
    <w:p>
      <w:pPr>
        <w:spacing w:after="60" w:before="0" w:line="276" w:lineRule="auto"/>
      </w:pPr>
      <w:r>
        <w:rPr>
          <w:sz w:val="19"/>
          <w:szCs w:val="19"/>
        </w:rPr>
        <w:t xml:space="preserve">[6] Z. Zhou, J. Zhong, Y. Zhang, and Q. Miao, “Anomaly Detection for UAV Flight Data via Reconstruction–Prediction Co-Learning Attention Network,” IEEE Trans. Instrum. Meas., vol. 74, pp. 1–13, 2025.</w:t>
      </w:r>
    </w:p>
    <w:p>
      <w:pPr>
        <w:spacing w:after="60" w:before="0" w:line="276" w:lineRule="auto"/>
      </w:pPr>
      <w:r>
        <w:rPr>
          <w:sz w:val="19"/>
          <w:szCs w:val="19"/>
        </w:rPr>
        <w:t xml:space="preserve">[7] J. Yang, Y. Zhang, and Q. Miao, “An Improved Probabilistic Variational Auto-Encoder With Dual Anomaly Score for UAV Flight Data Anomaly Detection,” IEEE Internet of Things J., vol. 13, no. 16, pp. 38049–38061, 2026.</w:t>
      </w:r>
    </w:p>
    <w:p>
      <w:pPr>
        <w:spacing w:after="60" w:before="0" w:line="276" w:lineRule="auto"/>
      </w:pPr>
      <w:r>
        <w:rPr>
          <w:sz w:val="19"/>
          <w:szCs w:val="19"/>
        </w:rPr>
        <w:t xml:space="preserve">[8] L. Yang, Y. Zhang, S. Li, A. Zhang, and Z. Liao, “Attention-Based Encoder-Decoder Hybrid Network with Adaptive Thresholds for Critical Parameter Anomaly Detection of UAV Flight Data,” in 2025 IEEE ICEIOM, 2025, pp. 183–190.</w:t>
      </w:r>
    </w:p>
    <w:p>
      <w:pPr>
        <w:spacing w:after="60" w:before="0" w:line="276" w:lineRule="auto"/>
      </w:pPr>
      <w:r>
        <w:rPr>
          <w:sz w:val="19"/>
          <w:szCs w:val="19"/>
        </w:rPr>
        <w:t xml:space="preserve">[9] M. H. Ishak, J. Banarjee, A. S. Oishy, and S. R. Bakaul, “A Novel AI-Driven Anomaly Detection Framework for Predictive Maintenance of Aircraft Engines,” in 2025 11th MEAE, 2025, pp. 24–28.</w:t>
      </w:r>
    </w:p>
    <w:p>
      <w:pPr>
        <w:spacing w:after="60" w:before="0" w:line="276" w:lineRule="auto"/>
      </w:pPr>
      <w:r>
        <w:rPr>
          <w:sz w:val="19"/>
          <w:szCs w:val="19"/>
        </w:rPr>
        <w:t xml:space="preserve">[10] X. Olive, A. Tanner, M. Strohmeier, M. Schäfer, M. Feridun, A. Tart, I. Martinovic, and V. Lenders, “Reference datasets for in-flight emergency situations,” Zenodo, 2020.</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2"/>
        <w:szCs w:val="22"/>
        <w:color w:val="000000"/>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s>
</file>