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37BE1" w14:textId="2B82CAD4" w:rsidR="00A03623" w:rsidRDefault="00A33807" w:rsidP="00A33807">
      <w:pPr>
        <w:jc w:val="center"/>
        <w:rPr>
          <w:sz w:val="32"/>
          <w:szCs w:val="32"/>
        </w:rPr>
      </w:pPr>
      <w:r>
        <w:rPr>
          <w:sz w:val="32"/>
          <w:szCs w:val="32"/>
        </w:rPr>
        <w:t>ACE2 Gene Analysis</w:t>
      </w:r>
    </w:p>
    <w:p w14:paraId="08FCFF7C" w14:textId="5AA9B494" w:rsidR="00A33807" w:rsidRDefault="00A33807" w:rsidP="00A33807">
      <w:pPr>
        <w:jc w:val="center"/>
        <w:rPr>
          <w:i/>
          <w:iCs/>
          <w:sz w:val="28"/>
          <w:szCs w:val="28"/>
        </w:rPr>
      </w:pPr>
      <w:r>
        <w:rPr>
          <w:i/>
          <w:iCs/>
          <w:sz w:val="28"/>
          <w:szCs w:val="28"/>
        </w:rPr>
        <w:t>Variant identification and biological significance</w:t>
      </w:r>
    </w:p>
    <w:p w14:paraId="6D98CCA6" w14:textId="40458CF9" w:rsidR="00A33807" w:rsidRPr="00B95CD1" w:rsidRDefault="00A33807" w:rsidP="00A33807">
      <w:pPr>
        <w:jc w:val="both"/>
        <w:rPr>
          <w:sz w:val="32"/>
          <w:szCs w:val="32"/>
          <w:u w:val="single"/>
        </w:rPr>
      </w:pPr>
      <w:r w:rsidRPr="00B95CD1">
        <w:rPr>
          <w:sz w:val="32"/>
          <w:szCs w:val="32"/>
          <w:u w:val="single"/>
        </w:rPr>
        <w:t>Results:</w:t>
      </w:r>
    </w:p>
    <w:p w14:paraId="33C3496B" w14:textId="3D0CD9B6" w:rsidR="00A33807" w:rsidRPr="00340B70" w:rsidRDefault="00A33807" w:rsidP="00A33807">
      <w:pPr>
        <w:jc w:val="both"/>
        <w:rPr>
          <w:sz w:val="28"/>
          <w:szCs w:val="28"/>
        </w:rPr>
      </w:pPr>
      <w:r w:rsidRPr="00340B70">
        <w:rPr>
          <w:sz w:val="28"/>
          <w:szCs w:val="28"/>
        </w:rPr>
        <w:t>There are 4 genome-wide statistically significant SNPs associated with the ACE2 gene (</w:t>
      </w:r>
      <w:r w:rsidRPr="00382EF3">
        <w:rPr>
          <w:color w:val="4472C4" w:themeColor="accent1"/>
          <w:sz w:val="28"/>
          <w:szCs w:val="28"/>
        </w:rPr>
        <w:t xml:space="preserve">GWAS </w:t>
      </w:r>
      <w:r w:rsidR="00382EF3" w:rsidRPr="00382EF3">
        <w:rPr>
          <w:color w:val="4472C4" w:themeColor="accent1"/>
          <w:sz w:val="28"/>
          <w:szCs w:val="28"/>
        </w:rPr>
        <w:t>C</w:t>
      </w:r>
      <w:r w:rsidRPr="00382EF3">
        <w:rPr>
          <w:color w:val="4472C4" w:themeColor="accent1"/>
          <w:sz w:val="28"/>
          <w:szCs w:val="28"/>
        </w:rPr>
        <w:t>atalog</w:t>
      </w:r>
      <w:r w:rsidRPr="00340B70">
        <w:rPr>
          <w:sz w:val="28"/>
          <w:szCs w:val="28"/>
        </w:rPr>
        <w:t>), namely:</w:t>
      </w:r>
    </w:p>
    <w:p w14:paraId="0CA3A31A" w14:textId="7D159538" w:rsidR="00A33807" w:rsidRPr="00340B70" w:rsidRDefault="00A33807" w:rsidP="00A33807">
      <w:pPr>
        <w:jc w:val="both"/>
        <w:rPr>
          <w:sz w:val="28"/>
          <w:szCs w:val="28"/>
        </w:rPr>
      </w:pPr>
      <w:r w:rsidRPr="00340B70">
        <w:rPr>
          <w:sz w:val="28"/>
          <w:szCs w:val="28"/>
        </w:rPr>
        <w:t>rs4830964, rs190509934, rs60768809, rs35697037</w:t>
      </w:r>
    </w:p>
    <w:p w14:paraId="7B076272" w14:textId="5506B237" w:rsidR="00A33807" w:rsidRPr="00340B70" w:rsidRDefault="00A33807" w:rsidP="00A33807">
      <w:pPr>
        <w:jc w:val="both"/>
        <w:rPr>
          <w:sz w:val="28"/>
          <w:szCs w:val="28"/>
        </w:rPr>
      </w:pPr>
      <w:r w:rsidRPr="00382EF3">
        <w:rPr>
          <w:color w:val="4472C4" w:themeColor="accent1"/>
          <w:sz w:val="28"/>
          <w:szCs w:val="28"/>
        </w:rPr>
        <w:t xml:space="preserve">Ensembl VEP </w:t>
      </w:r>
      <w:r w:rsidRPr="00340B70">
        <w:rPr>
          <w:sz w:val="28"/>
          <w:szCs w:val="28"/>
        </w:rPr>
        <w:t>analysis showed that rs4830964 is located in the intergenic region, rs35697037 is located in the intronic region, rs60768809 is located in the intron region</w:t>
      </w:r>
      <w:r w:rsidR="00382EF3">
        <w:rPr>
          <w:sz w:val="28"/>
          <w:szCs w:val="28"/>
        </w:rPr>
        <w:t xml:space="preserve">, </w:t>
      </w:r>
      <w:r w:rsidRPr="00340B70">
        <w:rPr>
          <w:sz w:val="28"/>
          <w:szCs w:val="28"/>
        </w:rPr>
        <w:t>and rs190509934 is located in the upstream gene region.</w:t>
      </w:r>
    </w:p>
    <w:p w14:paraId="7DDD42BB" w14:textId="64F87BE4" w:rsidR="001A4F54" w:rsidRDefault="00A33807" w:rsidP="00A33807">
      <w:pPr>
        <w:jc w:val="both"/>
        <w:rPr>
          <w:sz w:val="28"/>
          <w:szCs w:val="28"/>
        </w:rPr>
      </w:pPr>
      <w:r w:rsidRPr="00382EF3">
        <w:rPr>
          <w:color w:val="4472C4" w:themeColor="accent1"/>
          <w:sz w:val="28"/>
          <w:szCs w:val="28"/>
        </w:rPr>
        <w:t xml:space="preserve">eQTL analysis </w:t>
      </w:r>
      <w:r w:rsidRPr="00340B70">
        <w:rPr>
          <w:sz w:val="28"/>
          <w:szCs w:val="28"/>
        </w:rPr>
        <w:t xml:space="preserve">in the GTx Portal revealed that rs4830964 could affect gene expression in tissues such as lung, esophagus-muscularis, esophagus-GIT, brain-hippocampal, artery-tibial, nerve-tibial, </w:t>
      </w:r>
      <w:r w:rsidR="001A4F54" w:rsidRPr="00340B70">
        <w:rPr>
          <w:sz w:val="28"/>
          <w:szCs w:val="28"/>
        </w:rPr>
        <w:t xml:space="preserve">brain-spinal, pancreas, muscle-skeletal, thyroid and spleen. eQTL </w:t>
      </w:r>
      <w:r w:rsidR="00E84E88" w:rsidRPr="00E84E88">
        <w:rPr>
          <w:sz w:val="28"/>
          <w:szCs w:val="28"/>
        </w:rPr>
        <w:t>analysis</w:t>
      </w:r>
      <w:r w:rsidR="001A4F54" w:rsidRPr="00340B70">
        <w:rPr>
          <w:sz w:val="28"/>
          <w:szCs w:val="28"/>
        </w:rPr>
        <w:t xml:space="preserve"> of rs35697037 also demonstrated similar results. </w:t>
      </w:r>
    </w:p>
    <w:p w14:paraId="5904B85B" w14:textId="2BB5B95D" w:rsidR="00B95CD1" w:rsidRPr="00340B70" w:rsidRDefault="00B95CD1" w:rsidP="00A33807">
      <w:pPr>
        <w:jc w:val="both"/>
        <w:rPr>
          <w:sz w:val="28"/>
          <w:szCs w:val="28"/>
        </w:rPr>
      </w:pPr>
      <w:r w:rsidRPr="00B95CD1">
        <w:rPr>
          <w:sz w:val="28"/>
          <w:szCs w:val="28"/>
        </w:rPr>
        <w:drawing>
          <wp:anchor distT="0" distB="0" distL="114300" distR="114300" simplePos="0" relativeHeight="251658240" behindDoc="0" locked="0" layoutInCell="1" allowOverlap="1" wp14:anchorId="57BB9F54" wp14:editId="7B92668B">
            <wp:simplePos x="0" y="0"/>
            <wp:positionH relativeFrom="margin">
              <wp:posOffset>2965450</wp:posOffset>
            </wp:positionH>
            <wp:positionV relativeFrom="paragraph">
              <wp:posOffset>1905</wp:posOffset>
            </wp:positionV>
            <wp:extent cx="2913380" cy="2101850"/>
            <wp:effectExtent l="0" t="0" r="1270" b="0"/>
            <wp:wrapNone/>
            <wp:docPr id="12003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416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13380" cy="2101850"/>
                    </a:xfrm>
                    <a:prstGeom prst="rect">
                      <a:avLst/>
                    </a:prstGeom>
                  </pic:spPr>
                </pic:pic>
              </a:graphicData>
            </a:graphic>
            <wp14:sizeRelH relativeFrom="margin">
              <wp14:pctWidth>0</wp14:pctWidth>
            </wp14:sizeRelH>
            <wp14:sizeRelV relativeFrom="margin">
              <wp14:pctHeight>0</wp14:pctHeight>
            </wp14:sizeRelV>
          </wp:anchor>
        </w:drawing>
      </w:r>
      <w:r w:rsidRPr="00B95CD1">
        <w:rPr>
          <w:sz w:val="28"/>
          <w:szCs w:val="28"/>
        </w:rPr>
        <w:drawing>
          <wp:inline distT="0" distB="0" distL="0" distR="0" wp14:anchorId="797D8E82" wp14:editId="7D571A4A">
            <wp:extent cx="2870200" cy="2103120"/>
            <wp:effectExtent l="0" t="0" r="6350" b="0"/>
            <wp:docPr id="77208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80779" name=""/>
                    <pic:cNvPicPr/>
                  </pic:nvPicPr>
                  <pic:blipFill>
                    <a:blip r:embed="rId5"/>
                    <a:stretch>
                      <a:fillRect/>
                    </a:stretch>
                  </pic:blipFill>
                  <pic:spPr>
                    <a:xfrm>
                      <a:off x="0" y="0"/>
                      <a:ext cx="2884159" cy="2113348"/>
                    </a:xfrm>
                    <a:prstGeom prst="rect">
                      <a:avLst/>
                    </a:prstGeom>
                  </pic:spPr>
                </pic:pic>
              </a:graphicData>
            </a:graphic>
          </wp:inline>
        </w:drawing>
      </w:r>
    </w:p>
    <w:p w14:paraId="6EAF741B" w14:textId="6FEA179C" w:rsidR="00B95CD1" w:rsidRDefault="00B95CD1" w:rsidP="00A33807">
      <w:pPr>
        <w:jc w:val="both"/>
        <w:rPr>
          <w:sz w:val="24"/>
          <w:szCs w:val="24"/>
        </w:rPr>
      </w:pPr>
      <w:r>
        <w:rPr>
          <w:sz w:val="24"/>
          <w:szCs w:val="24"/>
        </w:rPr>
        <w:t>Fig 1.1, 1.2: Results of the eQTL analysis of the variant rs4830964</w:t>
      </w:r>
    </w:p>
    <w:p w14:paraId="2FAC6FAD" w14:textId="14173130" w:rsidR="00B95CD1" w:rsidRPr="00B95CD1" w:rsidRDefault="00B95CD1" w:rsidP="00A33807">
      <w:pPr>
        <w:jc w:val="both"/>
        <w:rPr>
          <w:sz w:val="24"/>
          <w:szCs w:val="24"/>
        </w:rPr>
      </w:pPr>
      <w:r>
        <w:rPr>
          <w:sz w:val="24"/>
          <w:szCs w:val="24"/>
        </w:rPr>
        <w:t>(Similarly, results were obtained for other variants as well)</w:t>
      </w:r>
    </w:p>
    <w:p w14:paraId="66097B45" w14:textId="5C061FD3" w:rsidR="001A4F54" w:rsidRPr="00340B70" w:rsidRDefault="001A4F54" w:rsidP="00A33807">
      <w:pPr>
        <w:jc w:val="both"/>
        <w:rPr>
          <w:sz w:val="28"/>
          <w:szCs w:val="28"/>
        </w:rPr>
      </w:pPr>
      <w:r w:rsidRPr="00340B70">
        <w:rPr>
          <w:sz w:val="28"/>
          <w:szCs w:val="28"/>
        </w:rPr>
        <w:t xml:space="preserve">However, rs60768809 showed a correlation only with muscle-skeletal tissue gene expression, whereas rs190509934 returned no significant results. </w:t>
      </w:r>
    </w:p>
    <w:p w14:paraId="23D8785D" w14:textId="5D2DAE46" w:rsidR="001A4F54" w:rsidRPr="00340B70" w:rsidRDefault="001A4F54" w:rsidP="00A33807">
      <w:pPr>
        <w:jc w:val="both"/>
        <w:rPr>
          <w:sz w:val="28"/>
          <w:szCs w:val="28"/>
        </w:rPr>
      </w:pPr>
      <w:r w:rsidRPr="00382EF3">
        <w:rPr>
          <w:color w:val="4472C4" w:themeColor="accent1"/>
          <w:sz w:val="28"/>
          <w:szCs w:val="28"/>
        </w:rPr>
        <w:t xml:space="preserve">Linkage disequilibrium (LD) analysis </w:t>
      </w:r>
      <w:r w:rsidRPr="00340B70">
        <w:rPr>
          <w:sz w:val="28"/>
          <w:szCs w:val="28"/>
        </w:rPr>
        <w:t>in Ensembl indicated that rs4830964 &lt;-&gt; rs35697037 are in very strong LD, with R</w:t>
      </w:r>
      <w:r w:rsidRPr="00340B70">
        <w:rPr>
          <w:sz w:val="28"/>
          <w:szCs w:val="28"/>
          <w:vertAlign w:val="superscript"/>
        </w:rPr>
        <w:t>2</w:t>
      </w:r>
      <w:r w:rsidRPr="00340B70">
        <w:rPr>
          <w:sz w:val="28"/>
          <w:szCs w:val="28"/>
        </w:rPr>
        <w:t xml:space="preserve"> = 0.865, and rs35697037 &lt;-&gt; rs4830964 have an R</w:t>
      </w:r>
      <w:r w:rsidRPr="00340B70">
        <w:rPr>
          <w:sz w:val="28"/>
          <w:szCs w:val="28"/>
          <w:vertAlign w:val="superscript"/>
        </w:rPr>
        <w:t>2</w:t>
      </w:r>
      <w:r w:rsidR="00340B70" w:rsidRPr="00340B70">
        <w:rPr>
          <w:sz w:val="28"/>
          <w:szCs w:val="28"/>
          <w:vertAlign w:val="superscript"/>
        </w:rPr>
        <w:t xml:space="preserve"> </w:t>
      </w:r>
      <w:r w:rsidRPr="00340B70">
        <w:rPr>
          <w:sz w:val="28"/>
          <w:szCs w:val="28"/>
        </w:rPr>
        <w:t>= 1. There was no other strong evidence of linkage.</w:t>
      </w:r>
    </w:p>
    <w:p w14:paraId="1F565027" w14:textId="71309E8C" w:rsidR="00340B70" w:rsidRPr="00340B70" w:rsidRDefault="00340B70" w:rsidP="00A33807">
      <w:pPr>
        <w:jc w:val="both"/>
        <w:rPr>
          <w:sz w:val="28"/>
          <w:szCs w:val="28"/>
        </w:rPr>
      </w:pPr>
      <w:r w:rsidRPr="00382EF3">
        <w:rPr>
          <w:color w:val="4472C4" w:themeColor="accent1"/>
          <w:sz w:val="28"/>
          <w:szCs w:val="28"/>
        </w:rPr>
        <w:lastRenderedPageBreak/>
        <w:t xml:space="preserve">miRNASNP database </w:t>
      </w:r>
      <w:r w:rsidRPr="00340B70">
        <w:rPr>
          <w:sz w:val="28"/>
          <w:szCs w:val="28"/>
        </w:rPr>
        <w:t xml:space="preserve">returned no results when entering the variants, because they are not present in the 3’UTR region. The presence of variants in the 3’UTR </w:t>
      </w:r>
      <w:r w:rsidR="00382EF3">
        <w:rPr>
          <w:sz w:val="28"/>
          <w:szCs w:val="28"/>
        </w:rPr>
        <w:t>affects</w:t>
      </w:r>
      <w:r w:rsidRPr="00340B70">
        <w:rPr>
          <w:sz w:val="28"/>
          <w:szCs w:val="28"/>
        </w:rPr>
        <w:t xml:space="preserve"> miRNA binding</w:t>
      </w:r>
      <w:r w:rsidR="00382EF3">
        <w:rPr>
          <w:sz w:val="28"/>
          <w:szCs w:val="28"/>
        </w:rPr>
        <w:t>.</w:t>
      </w:r>
    </w:p>
    <w:p w14:paraId="0257771D" w14:textId="1E057B8E" w:rsidR="00382EF3" w:rsidRDefault="00340B70" w:rsidP="00A33807">
      <w:pPr>
        <w:jc w:val="both"/>
        <w:rPr>
          <w:sz w:val="28"/>
          <w:szCs w:val="28"/>
        </w:rPr>
      </w:pPr>
      <w:r w:rsidRPr="00340B70">
        <w:rPr>
          <w:sz w:val="28"/>
          <w:szCs w:val="28"/>
        </w:rPr>
        <w:t xml:space="preserve">Finally, </w:t>
      </w:r>
      <w:r w:rsidRPr="00382EF3">
        <w:rPr>
          <w:color w:val="4472C4" w:themeColor="accent1"/>
          <w:sz w:val="28"/>
          <w:szCs w:val="28"/>
        </w:rPr>
        <w:t>RegulomeDB</w:t>
      </w:r>
      <w:r w:rsidRPr="00340B70">
        <w:rPr>
          <w:sz w:val="28"/>
          <w:szCs w:val="28"/>
        </w:rPr>
        <w:t xml:space="preserve"> displayed ranks based on </w:t>
      </w:r>
      <w:r w:rsidR="004C77A8">
        <w:rPr>
          <w:sz w:val="28"/>
          <w:szCs w:val="28"/>
        </w:rPr>
        <w:t>the strength of evidence for the variants' presence</w:t>
      </w:r>
      <w:r>
        <w:rPr>
          <w:sz w:val="28"/>
          <w:szCs w:val="28"/>
        </w:rPr>
        <w:t xml:space="preserve"> in regulatory regions of the ACE2 gene. </w:t>
      </w:r>
      <w:r w:rsidRPr="00340B70">
        <w:rPr>
          <w:sz w:val="28"/>
          <w:szCs w:val="28"/>
        </w:rPr>
        <w:t>rs4830964</w:t>
      </w:r>
      <w:r>
        <w:rPr>
          <w:sz w:val="28"/>
          <w:szCs w:val="28"/>
        </w:rPr>
        <w:t xml:space="preserve"> </w:t>
      </w:r>
      <w:r w:rsidR="004C77A8">
        <w:rPr>
          <w:sz w:val="28"/>
          <w:szCs w:val="28"/>
        </w:rPr>
        <w:t>ranks highest at 1b, indicating strong regulatory evidence, followed by rs35697037 at</w:t>
      </w:r>
      <w:r>
        <w:rPr>
          <w:sz w:val="28"/>
          <w:szCs w:val="28"/>
        </w:rPr>
        <w:t xml:space="preserve"> 1f. The remaining 2 variants have weaker ranks, thus explaining that there is not enough evidence to prove that they are regulatory.</w:t>
      </w:r>
    </w:p>
    <w:p w14:paraId="2311C776" w14:textId="584E1F11" w:rsidR="001A4F54" w:rsidRPr="00B95CD1" w:rsidRDefault="00382EF3" w:rsidP="00B95CD1">
      <w:pPr>
        <w:rPr>
          <w:sz w:val="28"/>
          <w:szCs w:val="28"/>
          <w:u w:val="single"/>
        </w:rPr>
      </w:pPr>
      <w:r w:rsidRPr="00B95CD1">
        <w:rPr>
          <w:sz w:val="32"/>
          <w:szCs w:val="32"/>
          <w:u w:val="single"/>
        </w:rPr>
        <w:t>Discussion:</w:t>
      </w:r>
    </w:p>
    <w:p w14:paraId="44CEE89C" w14:textId="7D9AC0A7" w:rsidR="00382EF3" w:rsidRPr="00382EF3" w:rsidRDefault="0078605D" w:rsidP="00A33807">
      <w:pPr>
        <w:jc w:val="both"/>
        <w:rPr>
          <w:sz w:val="28"/>
          <w:szCs w:val="28"/>
        </w:rPr>
      </w:pPr>
      <w:r>
        <w:rPr>
          <w:sz w:val="28"/>
          <w:szCs w:val="28"/>
        </w:rPr>
        <w:t>T</w:t>
      </w:r>
      <w:r w:rsidR="00B95CD1">
        <w:rPr>
          <w:sz w:val="28"/>
          <w:szCs w:val="28"/>
        </w:rPr>
        <w:t>he GTEx-eQTL analysi</w:t>
      </w:r>
      <w:r>
        <w:rPr>
          <w:sz w:val="28"/>
          <w:szCs w:val="28"/>
        </w:rPr>
        <w:t xml:space="preserve">s concluded that </w:t>
      </w:r>
      <w:r w:rsidR="00B95CD1">
        <w:rPr>
          <w:sz w:val="28"/>
          <w:szCs w:val="28"/>
        </w:rPr>
        <w:t>t</w:t>
      </w:r>
      <w:r w:rsidR="00382EF3">
        <w:rPr>
          <w:sz w:val="28"/>
          <w:szCs w:val="28"/>
        </w:rPr>
        <w:t xml:space="preserve">he variants </w:t>
      </w:r>
      <w:r w:rsidR="00382EF3" w:rsidRPr="00340B70">
        <w:rPr>
          <w:sz w:val="28"/>
          <w:szCs w:val="28"/>
        </w:rPr>
        <w:t>rs4830964</w:t>
      </w:r>
      <w:r w:rsidR="00382EF3">
        <w:rPr>
          <w:sz w:val="28"/>
          <w:szCs w:val="28"/>
        </w:rPr>
        <w:t xml:space="preserve"> and </w:t>
      </w:r>
      <w:r w:rsidR="00382EF3" w:rsidRPr="00340B70">
        <w:rPr>
          <w:sz w:val="28"/>
          <w:szCs w:val="28"/>
        </w:rPr>
        <w:t>rs35697037</w:t>
      </w:r>
      <w:r w:rsidR="00B95CD1">
        <w:rPr>
          <w:sz w:val="28"/>
          <w:szCs w:val="28"/>
        </w:rPr>
        <w:t xml:space="preserve"> </w:t>
      </w:r>
      <w:r>
        <w:rPr>
          <w:sz w:val="28"/>
          <w:szCs w:val="28"/>
        </w:rPr>
        <w:t xml:space="preserve">affect </w:t>
      </w:r>
      <w:r w:rsidR="00B95CD1">
        <w:rPr>
          <w:sz w:val="28"/>
          <w:szCs w:val="28"/>
        </w:rPr>
        <w:t>gene expression in the</w:t>
      </w:r>
      <w:r w:rsidR="00382EF3">
        <w:rPr>
          <w:sz w:val="28"/>
          <w:szCs w:val="28"/>
        </w:rPr>
        <w:t xml:space="preserve"> lung, esophagus-GIT, esophagus-muscularis, artery-tibial, artery-aorta, brain-spinal cord, brain</w:t>
      </w:r>
      <w:r>
        <w:rPr>
          <w:sz w:val="28"/>
          <w:szCs w:val="28"/>
        </w:rPr>
        <w:t>-</w:t>
      </w:r>
      <w:r w:rsidR="00382EF3">
        <w:rPr>
          <w:sz w:val="28"/>
          <w:szCs w:val="28"/>
        </w:rPr>
        <w:t>hippocamp</w:t>
      </w:r>
      <w:r>
        <w:rPr>
          <w:sz w:val="28"/>
          <w:szCs w:val="28"/>
        </w:rPr>
        <w:t>us</w:t>
      </w:r>
      <w:r w:rsidR="00382EF3">
        <w:rPr>
          <w:sz w:val="28"/>
          <w:szCs w:val="28"/>
        </w:rPr>
        <w:t xml:space="preserve"> and spleen. This correctly correlates with existing evidence on COVID-19 infections. The lungs are</w:t>
      </w:r>
      <w:r w:rsidR="00AF2DB9">
        <w:rPr>
          <w:sz w:val="28"/>
          <w:szCs w:val="28"/>
        </w:rPr>
        <w:t xml:space="preserve"> </w:t>
      </w:r>
      <w:r w:rsidR="00382EF3">
        <w:rPr>
          <w:sz w:val="28"/>
          <w:szCs w:val="28"/>
        </w:rPr>
        <w:t>most affected, followed by the GIT</w:t>
      </w:r>
      <w:r w:rsidR="00E84E88">
        <w:rPr>
          <w:sz w:val="28"/>
          <w:szCs w:val="28"/>
        </w:rPr>
        <w:t xml:space="preserve"> </w:t>
      </w:r>
      <w:r w:rsidR="00382EF3">
        <w:rPr>
          <w:sz w:val="28"/>
          <w:szCs w:val="28"/>
        </w:rPr>
        <w:t>(affecting digestion). Severe COVID infections could cause cardiovascular complications, which are explained by gene expression</w:t>
      </w:r>
      <w:r w:rsidR="00B95CD1">
        <w:rPr>
          <w:sz w:val="28"/>
          <w:szCs w:val="28"/>
        </w:rPr>
        <w:t xml:space="preserve"> changes</w:t>
      </w:r>
      <w:r w:rsidR="00382EF3">
        <w:rPr>
          <w:sz w:val="28"/>
          <w:szCs w:val="28"/>
        </w:rPr>
        <w:t xml:space="preserve"> in the artery</w:t>
      </w:r>
      <w:r w:rsidR="00DC16F4">
        <w:rPr>
          <w:sz w:val="28"/>
          <w:szCs w:val="28"/>
        </w:rPr>
        <w:t>. Long COVID affects the brain, leading to brain fog and encephalopathy. The eQTL analysis also showed that the variants are associated with differential gene expression in the spleen during infection, corresponding to immune dysfunction.</w:t>
      </w:r>
    </w:p>
    <w:p w14:paraId="6CACB4E2" w14:textId="209EA087" w:rsidR="00A33807" w:rsidRPr="00A33807" w:rsidRDefault="00AF2DB9" w:rsidP="00A33807">
      <w:pPr>
        <w:jc w:val="both"/>
        <w:rPr>
          <w:sz w:val="32"/>
          <w:szCs w:val="32"/>
        </w:rPr>
      </w:pPr>
      <w:r w:rsidRPr="00AF2DB9">
        <w:rPr>
          <w:sz w:val="28"/>
          <w:szCs w:val="28"/>
        </w:rPr>
        <w:t>Meanwhile, though</w:t>
      </w:r>
      <w:r>
        <w:rPr>
          <w:sz w:val="32"/>
          <w:szCs w:val="32"/>
        </w:rPr>
        <w:t xml:space="preserve"> </w:t>
      </w:r>
      <w:r w:rsidRPr="00340B70">
        <w:rPr>
          <w:sz w:val="28"/>
          <w:szCs w:val="28"/>
        </w:rPr>
        <w:t>rs60768809</w:t>
      </w:r>
      <w:r>
        <w:rPr>
          <w:sz w:val="28"/>
          <w:szCs w:val="28"/>
        </w:rPr>
        <w:t xml:space="preserve"> and </w:t>
      </w:r>
      <w:r w:rsidRPr="00340B70">
        <w:rPr>
          <w:sz w:val="28"/>
          <w:szCs w:val="28"/>
        </w:rPr>
        <w:t xml:space="preserve">rs190509934 </w:t>
      </w:r>
      <w:r>
        <w:rPr>
          <w:sz w:val="28"/>
          <w:szCs w:val="28"/>
        </w:rPr>
        <w:t xml:space="preserve">are genome-wide statistically significant according to GWAS </w:t>
      </w:r>
      <w:r w:rsidR="004C77A8">
        <w:rPr>
          <w:sz w:val="28"/>
          <w:szCs w:val="28"/>
        </w:rPr>
        <w:t>data</w:t>
      </w:r>
      <w:r>
        <w:rPr>
          <w:sz w:val="28"/>
          <w:szCs w:val="28"/>
        </w:rPr>
        <w:t xml:space="preserve">, there is not enough evidence to support their biological association with COVID-19. </w:t>
      </w:r>
    </w:p>
    <w:sectPr w:rsidR="00A33807" w:rsidRPr="00A338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07"/>
    <w:rsid w:val="001A4F54"/>
    <w:rsid w:val="00340B70"/>
    <w:rsid w:val="00382EF3"/>
    <w:rsid w:val="003A7F63"/>
    <w:rsid w:val="003B362A"/>
    <w:rsid w:val="004C77A8"/>
    <w:rsid w:val="006A7326"/>
    <w:rsid w:val="0078605D"/>
    <w:rsid w:val="007C7A44"/>
    <w:rsid w:val="00A03623"/>
    <w:rsid w:val="00A33807"/>
    <w:rsid w:val="00AF2DB9"/>
    <w:rsid w:val="00B95CD1"/>
    <w:rsid w:val="00D0016A"/>
    <w:rsid w:val="00D226F0"/>
    <w:rsid w:val="00DC16F4"/>
    <w:rsid w:val="00DE2EC2"/>
    <w:rsid w:val="00E84E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98CB"/>
  <w15:chartTrackingRefBased/>
  <w15:docId w15:val="{5129AF66-5FF5-467F-B04D-88C11069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807"/>
    <w:rPr>
      <w:rFonts w:eastAsiaTheme="majorEastAsia" w:cstheme="majorBidi"/>
      <w:color w:val="272727" w:themeColor="text1" w:themeTint="D8"/>
    </w:rPr>
  </w:style>
  <w:style w:type="paragraph" w:styleId="Title">
    <w:name w:val="Title"/>
    <w:basedOn w:val="Normal"/>
    <w:next w:val="Normal"/>
    <w:link w:val="TitleChar"/>
    <w:uiPriority w:val="10"/>
    <w:qFormat/>
    <w:rsid w:val="00A33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807"/>
    <w:pPr>
      <w:spacing w:before="160"/>
      <w:jc w:val="center"/>
    </w:pPr>
    <w:rPr>
      <w:i/>
      <w:iCs/>
      <w:color w:val="404040" w:themeColor="text1" w:themeTint="BF"/>
    </w:rPr>
  </w:style>
  <w:style w:type="character" w:customStyle="1" w:styleId="QuoteChar">
    <w:name w:val="Quote Char"/>
    <w:basedOn w:val="DefaultParagraphFont"/>
    <w:link w:val="Quote"/>
    <w:uiPriority w:val="29"/>
    <w:rsid w:val="00A33807"/>
    <w:rPr>
      <w:i/>
      <w:iCs/>
      <w:color w:val="404040" w:themeColor="text1" w:themeTint="BF"/>
    </w:rPr>
  </w:style>
  <w:style w:type="paragraph" w:styleId="ListParagraph">
    <w:name w:val="List Paragraph"/>
    <w:basedOn w:val="Normal"/>
    <w:uiPriority w:val="34"/>
    <w:qFormat/>
    <w:rsid w:val="00A33807"/>
    <w:pPr>
      <w:ind w:left="720"/>
      <w:contextualSpacing/>
    </w:pPr>
  </w:style>
  <w:style w:type="character" w:styleId="IntenseEmphasis">
    <w:name w:val="Intense Emphasis"/>
    <w:basedOn w:val="DefaultParagraphFont"/>
    <w:uiPriority w:val="21"/>
    <w:qFormat/>
    <w:rsid w:val="00A33807"/>
    <w:rPr>
      <w:i/>
      <w:iCs/>
      <w:color w:val="2F5496" w:themeColor="accent1" w:themeShade="BF"/>
    </w:rPr>
  </w:style>
  <w:style w:type="paragraph" w:styleId="IntenseQuote">
    <w:name w:val="Intense Quote"/>
    <w:basedOn w:val="Normal"/>
    <w:next w:val="Normal"/>
    <w:link w:val="IntenseQuoteChar"/>
    <w:uiPriority w:val="30"/>
    <w:qFormat/>
    <w:rsid w:val="00A33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807"/>
    <w:rPr>
      <w:i/>
      <w:iCs/>
      <w:color w:val="2F5496" w:themeColor="accent1" w:themeShade="BF"/>
    </w:rPr>
  </w:style>
  <w:style w:type="character" w:styleId="IntenseReference">
    <w:name w:val="Intense Reference"/>
    <w:basedOn w:val="DefaultParagraphFont"/>
    <w:uiPriority w:val="32"/>
    <w:qFormat/>
    <w:rsid w:val="00A338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Aadharshini Pradeep</dc:creator>
  <cp:keywords/>
  <dc:description/>
  <cp:lastModifiedBy>Aadharshini Pradeep</cp:lastModifiedBy>
  <cp:revision>8</cp:revision>
  <dcterms:created xsi:type="dcterms:W3CDTF">2026-06-23T10:01:00Z</dcterms:created>
  <dcterms:modified xsi:type="dcterms:W3CDTF">2026-06-25T04:16:00Z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af0009a8-9095-434a-a722-cce4c3c8507b</vt:lpwstr>
  </property>
</Properties>
</file>