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437" w:rsidRDefault="008C2B97">
      <w:pPr>
        <w:pStyle w:val="Title"/>
      </w:pPr>
      <w:bookmarkStart w:id="0" w:name="_GoBack"/>
      <w:bookmarkEnd w:id="0"/>
      <w:r>
        <w:t>TEST STRATEGY DOCUMENT</w:t>
      </w:r>
    </w:p>
    <w:p w:rsidR="007F6437" w:rsidRDefault="008C2B97">
      <w:pPr>
        <w:jc w:val="center"/>
      </w:pPr>
      <w:r>
        <w:t>PEGA Based Dispute Case Management Application</w:t>
      </w:r>
      <w:r>
        <w:br/>
      </w:r>
    </w:p>
    <w:p w:rsidR="007F6437" w:rsidRDefault="008C2B97">
      <w:r>
        <w:t>Prepared by: Aadhavan Selvaraj</w:t>
      </w:r>
    </w:p>
    <w:p w:rsidR="007F6437" w:rsidRDefault="008C2B97">
      <w:r>
        <w:t>Date: April 21, 2026</w:t>
      </w:r>
    </w:p>
    <w:p w:rsidR="007F6437" w:rsidRDefault="008C2B97">
      <w:pPr>
        <w:pStyle w:val="Heading1"/>
      </w:pPr>
      <w:r>
        <w:t>1. Document Objective</w:t>
      </w:r>
    </w:p>
    <w:p w:rsidR="007F6437" w:rsidRDefault="008C2B97">
      <w:r>
        <w:t>This document defines the end-to-end testing strategy for validating the Dispute Case Management application built on the PEGA platform. The purpose is to ensure functional accuracy, integration stability, regulatory compliance, and release readiness.</w:t>
      </w:r>
    </w:p>
    <w:p w:rsidR="007F6437" w:rsidRDefault="008C2B97">
      <w:pPr>
        <w:pStyle w:val="Heading1"/>
      </w:pPr>
      <w:r>
        <w:t>2. Application Scope</w:t>
      </w:r>
    </w:p>
    <w:p w:rsidR="007F6437" w:rsidRDefault="008C2B97">
      <w:r>
        <w:t>In Scope:</w:t>
      </w:r>
    </w:p>
    <w:p w:rsidR="007F6437" w:rsidRDefault="008C2B97">
      <w:pPr>
        <w:pStyle w:val="ListBullet"/>
      </w:pPr>
      <w:r>
        <w:t>Credit Card Disputes</w:t>
      </w:r>
    </w:p>
    <w:p w:rsidR="007F6437" w:rsidRDefault="008C2B97">
      <w:pPr>
        <w:pStyle w:val="ListBullet"/>
      </w:pPr>
      <w:r>
        <w:t>Debit Card Disputes (non-ATM)</w:t>
      </w:r>
    </w:p>
    <w:p w:rsidR="007F6437" w:rsidRDefault="008C2B97">
      <w:pPr>
        <w:pStyle w:val="ListBullet"/>
      </w:pPr>
      <w:r>
        <w:t>Case creation, investigation, approval and closure</w:t>
      </w:r>
    </w:p>
    <w:p w:rsidR="007F6437" w:rsidRDefault="008C2B97">
      <w:pPr>
        <w:pStyle w:val="ListBullet"/>
      </w:pPr>
      <w:r>
        <w:t>PEGA workflows and SLAs</w:t>
      </w:r>
    </w:p>
    <w:p w:rsidR="007F6437" w:rsidRDefault="008C2B97">
      <w:pPr>
        <w:pStyle w:val="ListBullet"/>
      </w:pPr>
      <w:r>
        <w:t>API integrations with transaction/refund systems</w:t>
      </w:r>
    </w:p>
    <w:p w:rsidR="007F6437" w:rsidRDefault="008C2B97">
      <w:pPr>
        <w:pStyle w:val="ListBullet"/>
      </w:pPr>
      <w:r>
        <w:t>Web portal and operations users</w:t>
      </w:r>
    </w:p>
    <w:p w:rsidR="007F6437" w:rsidRDefault="008C2B97">
      <w:r>
        <w:t>Out of Scope:</w:t>
      </w:r>
    </w:p>
    <w:p w:rsidR="007F6437" w:rsidRDefault="008C2B97">
      <w:pPr>
        <w:pStyle w:val="ListBullet"/>
      </w:pPr>
      <w:r>
        <w:t>ATM disputes</w:t>
      </w:r>
    </w:p>
    <w:p w:rsidR="007F6437" w:rsidRDefault="008C2B97">
      <w:pPr>
        <w:pStyle w:val="ListBullet"/>
      </w:pPr>
      <w:r>
        <w:t>Fee-only disputes</w:t>
      </w:r>
    </w:p>
    <w:p w:rsidR="007F6437" w:rsidRDefault="008C2B97">
      <w:pPr>
        <w:pStyle w:val="ListBullet"/>
      </w:pPr>
      <w:r>
        <w:t>Legacy archived cases</w:t>
      </w:r>
    </w:p>
    <w:p w:rsidR="007F6437" w:rsidRDefault="008C2B97">
      <w:pPr>
        <w:pStyle w:val="Heading1"/>
      </w:pPr>
      <w:r>
        <w:t>3. Test Strategy</w:t>
      </w:r>
    </w:p>
    <w:p w:rsidR="007F6437" w:rsidRDefault="008C2B97">
      <w:pPr>
        <w:pStyle w:val="ListBullet"/>
      </w:pPr>
      <w:r>
        <w:t>Smoke testing after every deployment</w:t>
      </w:r>
    </w:p>
    <w:p w:rsidR="007F6437" w:rsidRDefault="008C2B97">
      <w:pPr>
        <w:pStyle w:val="ListBullet"/>
      </w:pPr>
      <w:r>
        <w:t>Functional testing for dispute lifecycle journeys</w:t>
      </w:r>
    </w:p>
    <w:p w:rsidR="007F6437" w:rsidRDefault="008C2B97">
      <w:pPr>
        <w:pStyle w:val="ListBullet"/>
      </w:pPr>
      <w:r>
        <w:t>API testing for eligibility, transaction and refund services</w:t>
      </w:r>
    </w:p>
    <w:p w:rsidR="007F6437" w:rsidRDefault="008C2B97">
      <w:pPr>
        <w:pStyle w:val="ListBullet"/>
      </w:pPr>
      <w:r>
        <w:t>Database validation for case status and financial updates</w:t>
      </w:r>
    </w:p>
    <w:p w:rsidR="007F6437" w:rsidRDefault="008C2B97">
      <w:pPr>
        <w:pStyle w:val="ListBullet"/>
      </w:pPr>
      <w:r>
        <w:t>Regression testing for impacted modules</w:t>
      </w:r>
    </w:p>
    <w:p w:rsidR="007F6437" w:rsidRDefault="008C2B97">
      <w:pPr>
        <w:pStyle w:val="ListBullet"/>
      </w:pPr>
      <w:r>
        <w:t>Exploratory testing for negative and edge scenarios</w:t>
      </w:r>
    </w:p>
    <w:p w:rsidR="007F6437" w:rsidRDefault="008C2B97">
      <w:pPr>
        <w:pStyle w:val="ListBullet"/>
      </w:pPr>
      <w:r>
        <w:t>UAT support and defect retesting</w:t>
      </w:r>
    </w:p>
    <w:p w:rsidR="007F6437" w:rsidRDefault="008C2B97">
      <w:pPr>
        <w:pStyle w:val="Heading1"/>
      </w:pPr>
      <w:r>
        <w:lastRenderedPageBreak/>
        <w:t>4. Automation Approach</w:t>
      </w:r>
    </w:p>
    <w:p w:rsidR="007F6437" w:rsidRDefault="008C2B97">
      <w:pPr>
        <w:pStyle w:val="ListBullet"/>
      </w:pPr>
      <w:r>
        <w:t>Critical user journeys automated using Selenium/Playwright</w:t>
      </w:r>
    </w:p>
    <w:p w:rsidR="007F6437" w:rsidRDefault="008C2B97">
      <w:pPr>
        <w:pStyle w:val="ListBullet"/>
      </w:pPr>
      <w:r>
        <w:t>API regression automated using REST Assured/Postman collections</w:t>
      </w:r>
    </w:p>
    <w:p w:rsidR="007F6437" w:rsidRDefault="008C2B97">
      <w:pPr>
        <w:pStyle w:val="ListBullet"/>
      </w:pPr>
      <w:r>
        <w:t>CI/CD execution through Jenkins or GitHub Actions</w:t>
      </w:r>
    </w:p>
    <w:p w:rsidR="007F6437" w:rsidRDefault="008C2B97">
      <w:pPr>
        <w:pStyle w:val="ListBullet"/>
      </w:pPr>
      <w:r>
        <w:t>Daily scheduled regression for stable environments</w:t>
      </w:r>
    </w:p>
    <w:p w:rsidR="007F6437" w:rsidRDefault="008C2B97">
      <w:pPr>
        <w:pStyle w:val="Heading1"/>
      </w:pPr>
      <w:r>
        <w:t>5. Test Environment &amp; Data</w:t>
      </w:r>
    </w:p>
    <w:p w:rsidR="007F6437" w:rsidRDefault="008C2B97">
      <w:pPr>
        <w:pStyle w:val="ListBullet"/>
      </w:pPr>
      <w:r>
        <w:t>SIT for integration validation</w:t>
      </w:r>
    </w:p>
    <w:p w:rsidR="007F6437" w:rsidRDefault="008C2B97">
      <w:pPr>
        <w:pStyle w:val="ListBullet"/>
      </w:pPr>
      <w:r>
        <w:t>UAT for business signoff</w:t>
      </w:r>
    </w:p>
    <w:p w:rsidR="007F6437" w:rsidRDefault="008C2B97">
      <w:pPr>
        <w:pStyle w:val="ListBullet"/>
      </w:pPr>
      <w:r>
        <w:t>NFT for performance/security validation</w:t>
      </w:r>
    </w:p>
    <w:p w:rsidR="007F6437" w:rsidRDefault="008C2B97">
      <w:pPr>
        <w:pStyle w:val="ListBullet"/>
      </w:pPr>
      <w:r>
        <w:t>Masked production-like data for testing</w:t>
      </w:r>
    </w:p>
    <w:p w:rsidR="007F6437" w:rsidRDefault="008C2B97">
      <w:pPr>
        <w:pStyle w:val="ListBullet"/>
      </w:pPr>
      <w:r>
        <w:t>Synthetic data for rare dispute scenarios</w:t>
      </w:r>
    </w:p>
    <w:p w:rsidR="007F6437" w:rsidRDefault="008C2B97">
      <w:pPr>
        <w:pStyle w:val="Heading1"/>
      </w:pPr>
      <w:r>
        <w:t>6. Entry Criteria</w:t>
      </w:r>
    </w:p>
    <w:p w:rsidR="007F6437" w:rsidRDefault="008C2B97">
      <w:pPr>
        <w:pStyle w:val="ListBullet"/>
      </w:pPr>
      <w:r>
        <w:t>Requirements approved</w:t>
      </w:r>
    </w:p>
    <w:p w:rsidR="007F6437" w:rsidRDefault="008C2B97">
      <w:pPr>
        <w:pStyle w:val="ListBullet"/>
      </w:pPr>
      <w:r>
        <w:t>Code deployed successfully</w:t>
      </w:r>
    </w:p>
    <w:p w:rsidR="007F6437" w:rsidRDefault="008C2B97">
      <w:pPr>
        <w:pStyle w:val="ListBullet"/>
      </w:pPr>
      <w:r>
        <w:t>Environment available</w:t>
      </w:r>
    </w:p>
    <w:p w:rsidR="007F6437" w:rsidRDefault="008C2B97">
      <w:pPr>
        <w:pStyle w:val="ListBullet"/>
      </w:pPr>
      <w:r>
        <w:t>Test data ready</w:t>
      </w:r>
    </w:p>
    <w:p w:rsidR="007F6437" w:rsidRDefault="008C2B97">
      <w:pPr>
        <w:pStyle w:val="ListBullet"/>
      </w:pPr>
      <w:r>
        <w:t>Interfaces available or stubbed</w:t>
      </w:r>
    </w:p>
    <w:p w:rsidR="007F6437" w:rsidRDefault="008C2B97">
      <w:pPr>
        <w:pStyle w:val="Heading1"/>
      </w:pPr>
      <w:r>
        <w:t>7. Exit Criteria</w:t>
      </w:r>
    </w:p>
    <w:p w:rsidR="007F6437" w:rsidRDefault="008C2B97">
      <w:pPr>
        <w:pStyle w:val="ListBullet"/>
      </w:pPr>
      <w:r>
        <w:t>95% planned tests executed</w:t>
      </w:r>
    </w:p>
    <w:p w:rsidR="007F6437" w:rsidRDefault="008C2B97">
      <w:pPr>
        <w:pStyle w:val="ListBullet"/>
      </w:pPr>
      <w:r>
        <w:t>No open Sev1/Sev2 defects</w:t>
      </w:r>
    </w:p>
    <w:p w:rsidR="007F6437" w:rsidRDefault="008C2B97">
      <w:pPr>
        <w:pStyle w:val="ListBullet"/>
      </w:pPr>
      <w:r>
        <w:t>Critical flows passed</w:t>
      </w:r>
    </w:p>
    <w:p w:rsidR="007F6437" w:rsidRDefault="008C2B97">
      <w:pPr>
        <w:pStyle w:val="ListBullet"/>
      </w:pPr>
      <w:r>
        <w:t>Business approval received</w:t>
      </w:r>
    </w:p>
    <w:p w:rsidR="007F6437" w:rsidRDefault="008C2B97">
      <w:pPr>
        <w:pStyle w:val="Heading1"/>
      </w:pPr>
      <w:r>
        <w:t>8. Defect Management</w:t>
      </w:r>
    </w:p>
    <w:p w:rsidR="007F6437" w:rsidRDefault="008C2B97">
      <w:r>
        <w:t>All defects will be tracked in Jira with agreed severity and priority model. Daily triage meetings will review blockers, ageing defects, and release risks.</w:t>
      </w:r>
    </w:p>
    <w:p w:rsidR="007F6437" w:rsidRDefault="008C2B97">
      <w:pPr>
        <w:pStyle w:val="Heading1"/>
      </w:pPr>
      <w:r>
        <w:t>9. Risks &amp; Mitigation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6437">
        <w:tc>
          <w:tcPr>
            <w:tcW w:w="4320" w:type="dxa"/>
          </w:tcPr>
          <w:p w:rsidR="007F6437" w:rsidRDefault="008C2B97">
            <w:r>
              <w:t>Risk</w:t>
            </w:r>
          </w:p>
        </w:tc>
        <w:tc>
          <w:tcPr>
            <w:tcW w:w="4320" w:type="dxa"/>
          </w:tcPr>
          <w:p w:rsidR="007F6437" w:rsidRDefault="008C2B97">
            <w:r>
              <w:t>Mitigation</w:t>
            </w:r>
          </w:p>
        </w:tc>
      </w:tr>
      <w:tr w:rsidR="007F6437">
        <w:tc>
          <w:tcPr>
            <w:tcW w:w="4320" w:type="dxa"/>
          </w:tcPr>
          <w:p w:rsidR="007F6437" w:rsidRDefault="008C2B97">
            <w:r>
              <w:t>External API downtime</w:t>
            </w:r>
          </w:p>
        </w:tc>
        <w:tc>
          <w:tcPr>
            <w:tcW w:w="4320" w:type="dxa"/>
          </w:tcPr>
          <w:p w:rsidR="007F6437" w:rsidRDefault="008C2B97">
            <w:r>
              <w:t>Use mocks/service virtualization</w:t>
            </w:r>
          </w:p>
        </w:tc>
      </w:tr>
      <w:tr w:rsidR="007F6437">
        <w:tc>
          <w:tcPr>
            <w:tcW w:w="4320" w:type="dxa"/>
          </w:tcPr>
          <w:p w:rsidR="007F6437" w:rsidRDefault="008C2B97">
            <w:r>
              <w:t>Limited data coverage</w:t>
            </w:r>
          </w:p>
        </w:tc>
        <w:tc>
          <w:tcPr>
            <w:tcW w:w="4320" w:type="dxa"/>
          </w:tcPr>
          <w:p w:rsidR="007F6437" w:rsidRDefault="008C2B97">
            <w:r>
              <w:t>Create synthetic datasets</w:t>
            </w:r>
          </w:p>
        </w:tc>
      </w:tr>
      <w:tr w:rsidR="007F6437">
        <w:tc>
          <w:tcPr>
            <w:tcW w:w="4320" w:type="dxa"/>
          </w:tcPr>
          <w:p w:rsidR="007F6437" w:rsidRDefault="008C2B97">
            <w:r>
              <w:t>Frequent rule changes</w:t>
            </w:r>
          </w:p>
        </w:tc>
        <w:tc>
          <w:tcPr>
            <w:tcW w:w="4320" w:type="dxa"/>
          </w:tcPr>
          <w:p w:rsidR="007F6437" w:rsidRDefault="008C2B97">
            <w:r>
              <w:t>Impact analysis + targeted regression</w:t>
            </w:r>
          </w:p>
        </w:tc>
      </w:tr>
      <w:tr w:rsidR="007F6437">
        <w:tc>
          <w:tcPr>
            <w:tcW w:w="4320" w:type="dxa"/>
          </w:tcPr>
          <w:p w:rsidR="007F6437" w:rsidRDefault="008C2B97">
            <w:r>
              <w:lastRenderedPageBreak/>
              <w:t>Tight timelines</w:t>
            </w:r>
          </w:p>
        </w:tc>
        <w:tc>
          <w:tcPr>
            <w:tcW w:w="4320" w:type="dxa"/>
          </w:tcPr>
          <w:p w:rsidR="007F6437" w:rsidRDefault="008C2B97">
            <w:r>
              <w:t>Risk-based prioritization</w:t>
            </w:r>
          </w:p>
        </w:tc>
      </w:tr>
    </w:tbl>
    <w:p w:rsidR="007F6437" w:rsidRDefault="008C2B97">
      <w:pPr>
        <w:pStyle w:val="Heading1"/>
      </w:pPr>
      <w:r>
        <w:t>10. Reporting Metrics</w:t>
      </w:r>
    </w:p>
    <w:p w:rsidR="007F6437" w:rsidRDefault="008C2B97">
      <w:pPr>
        <w:pStyle w:val="ListBullet"/>
      </w:pPr>
      <w:r>
        <w:t>Daily execution progress</w:t>
      </w:r>
    </w:p>
    <w:p w:rsidR="007F6437" w:rsidRDefault="008C2B97">
      <w:pPr>
        <w:pStyle w:val="ListBullet"/>
      </w:pPr>
      <w:r>
        <w:t>Pass / Fail percentage</w:t>
      </w:r>
    </w:p>
    <w:p w:rsidR="007F6437" w:rsidRDefault="008C2B97">
      <w:pPr>
        <w:pStyle w:val="ListBullet"/>
      </w:pPr>
      <w:r>
        <w:t>Defect count by severity</w:t>
      </w:r>
    </w:p>
    <w:p w:rsidR="007F6437" w:rsidRDefault="008C2B97">
      <w:pPr>
        <w:pStyle w:val="ListBullet"/>
      </w:pPr>
      <w:r>
        <w:t>Defect ageing</w:t>
      </w:r>
    </w:p>
    <w:p w:rsidR="007F6437" w:rsidRDefault="008C2B97">
      <w:pPr>
        <w:pStyle w:val="ListBullet"/>
      </w:pPr>
      <w:r>
        <w:t>Automation coverage</w:t>
      </w:r>
    </w:p>
    <w:p w:rsidR="007F6437" w:rsidRDefault="008C2B97">
      <w:pPr>
        <w:pStyle w:val="ListBullet"/>
      </w:pPr>
      <w:r>
        <w:t>Release readiness status</w:t>
      </w:r>
    </w:p>
    <w:p w:rsidR="007F6437" w:rsidRDefault="008C2B97">
      <w:pPr>
        <w:pStyle w:val="Heading1"/>
      </w:pPr>
      <w:r>
        <w:t>11. Team Lead Review Comments</w:t>
      </w:r>
    </w:p>
    <w:p w:rsidR="007F6437" w:rsidRDefault="008C2B97">
      <w:r>
        <w:t>Strategy is aligned with enterprise standards. Recommended improvements include expanding automation coverage for chargeback scenarios, defining performance benchmarks, and adding compliance traceability against Visa/Mastercard rules.</w:t>
      </w:r>
    </w:p>
    <w:sectPr w:rsidR="007F64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6437"/>
    <w:rsid w:val="008C2B97"/>
    <w:rsid w:val="00AA1D8D"/>
    <w:rsid w:val="00B47730"/>
    <w:rsid w:val="00CB0664"/>
    <w:rsid w:val="00EC27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FB903"/>
  <w14:defaultImageDpi w14:val="300"/>
  <w15:docId w15:val="{7710612A-480F-4D68-97AF-72EF1CA2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E68BE6-3975-4C0D-A2FA-C75404B8E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Sarmila Venkitapathy</cp:lastModifiedBy>
  <cp:revision>2</cp:revision>
  <dcterms:created xsi:type="dcterms:W3CDTF">2013-12-23T23:15:00Z</dcterms:created>
  <dcterms:modified xsi:type="dcterms:W3CDTF">2026-04-21T14:03:00Z</dcterms:modified>
  <cp:category/>
</cp:coreProperties>
</file>